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432653">
      <w:pPr>
        <w:rPr>
          <w:sz w:val="72"/>
          <w:szCs w:val="72"/>
        </w:rPr>
      </w:pPr>
    </w:p>
    <w:p w14:paraId="00221B38">
      <w:pPr>
        <w:jc w:val="center"/>
        <w:rPr>
          <w:sz w:val="72"/>
          <w:szCs w:val="72"/>
        </w:rPr>
      </w:pPr>
    </w:p>
    <w:p w14:paraId="377AD763">
      <w:pPr>
        <w:jc w:val="center"/>
        <w:rPr>
          <w:sz w:val="72"/>
          <w:szCs w:val="72"/>
        </w:rPr>
      </w:pPr>
      <w:r>
        <w:rPr>
          <w:rFonts w:hint="eastAsia"/>
          <w:sz w:val="72"/>
          <w:szCs w:val="72"/>
        </w:rPr>
        <w:t>磋商文件</w:t>
      </w:r>
    </w:p>
    <w:p w14:paraId="7EA5B29A">
      <w:pPr>
        <w:spacing w:before="114" w:line="212" w:lineRule="auto"/>
        <w:rPr>
          <w:rFonts w:ascii="宋体" w:hAnsi="宋体" w:eastAsia="宋体" w:cs="宋体"/>
          <w:b/>
          <w:bCs/>
          <w:spacing w:val="-6"/>
          <w:sz w:val="35"/>
          <w:szCs w:val="35"/>
        </w:rPr>
      </w:pPr>
    </w:p>
    <w:p w14:paraId="197292EC">
      <w:pPr>
        <w:pStyle w:val="15"/>
      </w:pPr>
    </w:p>
    <w:p w14:paraId="1D42B31E">
      <w:pPr>
        <w:pStyle w:val="15"/>
      </w:pPr>
    </w:p>
    <w:p w14:paraId="35C1AAAB">
      <w:pPr>
        <w:pStyle w:val="3"/>
      </w:pPr>
    </w:p>
    <w:p w14:paraId="61BD2B2D">
      <w:pPr>
        <w:spacing w:before="114" w:line="212" w:lineRule="auto"/>
        <w:rPr>
          <w:rFonts w:hint="eastAsia" w:ascii="宋体" w:hAnsi="宋体" w:eastAsia="宋体" w:cs="宋体"/>
          <w:sz w:val="35"/>
          <w:szCs w:val="35"/>
          <w:highlight w:val="none"/>
          <w:lang w:eastAsia="zh-CN"/>
        </w:rPr>
      </w:pPr>
      <w:r>
        <w:rPr>
          <w:rFonts w:ascii="宋体" w:hAnsi="宋体" w:eastAsia="宋体" w:cs="宋体"/>
          <w:b/>
          <w:bCs/>
          <w:spacing w:val="-6"/>
          <w:sz w:val="35"/>
          <w:szCs w:val="35"/>
        </w:rPr>
        <w:t>项目编号：</w:t>
      </w:r>
      <w:r>
        <w:rPr>
          <w:rFonts w:hint="eastAsia" w:ascii="宋体" w:hAnsi="宋体" w:eastAsia="宋体" w:cs="宋体"/>
          <w:b/>
          <w:bCs/>
          <w:spacing w:val="-6"/>
          <w:sz w:val="35"/>
          <w:szCs w:val="35"/>
          <w:highlight w:val="none"/>
          <w:lang w:eastAsia="zh-CN"/>
        </w:rPr>
        <w:t>JSZC-321112-STGC-C2025-0011</w:t>
      </w:r>
    </w:p>
    <w:p w14:paraId="312E3B02">
      <w:pPr>
        <w:spacing w:line="249" w:lineRule="auto"/>
        <w:rPr>
          <w:rFonts w:ascii="Arial"/>
        </w:rPr>
      </w:pPr>
    </w:p>
    <w:p w14:paraId="559A9783">
      <w:pPr>
        <w:spacing w:line="250" w:lineRule="auto"/>
        <w:rPr>
          <w:rFonts w:ascii="Arial"/>
        </w:rPr>
      </w:pPr>
    </w:p>
    <w:p w14:paraId="26B369FD">
      <w:pPr>
        <w:spacing w:line="250" w:lineRule="auto"/>
        <w:rPr>
          <w:rFonts w:ascii="Arial"/>
        </w:rPr>
      </w:pPr>
    </w:p>
    <w:p w14:paraId="4BF5C9E1">
      <w:pPr>
        <w:rPr>
          <w:rFonts w:hint="eastAsia" w:ascii="宋体" w:hAnsi="宋体" w:eastAsia="宋体" w:cs="宋体"/>
          <w:b/>
          <w:bCs/>
          <w:spacing w:val="-7"/>
          <w:sz w:val="35"/>
          <w:szCs w:val="35"/>
          <w:lang w:eastAsia="zh-CN"/>
        </w:rPr>
      </w:pPr>
      <w:r>
        <w:rPr>
          <w:rFonts w:ascii="宋体" w:hAnsi="宋体" w:eastAsia="宋体" w:cs="宋体"/>
          <w:b/>
          <w:bCs/>
          <w:spacing w:val="-7"/>
          <w:sz w:val="35"/>
          <w:szCs w:val="35"/>
        </w:rPr>
        <w:t>项目名称：</w:t>
      </w:r>
      <w:bookmarkStart w:id="0" w:name="OLE_LINK4"/>
      <w:bookmarkStart w:id="1" w:name="OLE_LINK5"/>
      <w:r>
        <w:rPr>
          <w:rFonts w:hint="eastAsia" w:ascii="宋体" w:hAnsi="宋体" w:eastAsia="宋体" w:cs="宋体"/>
          <w:b/>
          <w:bCs/>
          <w:spacing w:val="-7"/>
          <w:sz w:val="35"/>
          <w:szCs w:val="35"/>
          <w:lang w:eastAsia="zh-CN"/>
        </w:rPr>
        <w:t>丹徒区站岗沟行洪通道建设项目工程监理项目</w:t>
      </w:r>
    </w:p>
    <w:bookmarkEnd w:id="0"/>
    <w:bookmarkEnd w:id="1"/>
    <w:p w14:paraId="2F4E94B5">
      <w:pPr>
        <w:rPr>
          <w:rFonts w:ascii="宋体" w:hAnsi="宋体" w:eastAsia="宋体" w:cs="宋体"/>
          <w:spacing w:val="7"/>
          <w:sz w:val="35"/>
          <w:szCs w:val="35"/>
        </w:rPr>
      </w:pPr>
    </w:p>
    <w:p w14:paraId="74ABA0AB">
      <w:pPr>
        <w:pStyle w:val="3"/>
        <w:rPr>
          <w:rFonts w:ascii="宋体" w:hAnsi="宋体" w:eastAsia="宋体" w:cs="宋体"/>
          <w:spacing w:val="7"/>
          <w:sz w:val="35"/>
          <w:szCs w:val="35"/>
        </w:rPr>
      </w:pPr>
    </w:p>
    <w:p w14:paraId="773FB3CF">
      <w:pPr>
        <w:pStyle w:val="7"/>
        <w:rPr>
          <w:rFonts w:ascii="宋体" w:hAnsi="宋体" w:eastAsia="宋体" w:cs="宋体"/>
          <w:spacing w:val="7"/>
          <w:sz w:val="35"/>
          <w:szCs w:val="35"/>
        </w:rPr>
      </w:pPr>
    </w:p>
    <w:p w14:paraId="61E1F76B">
      <w:pPr>
        <w:pStyle w:val="7"/>
        <w:rPr>
          <w:rFonts w:ascii="宋体" w:hAnsi="宋体" w:eastAsia="宋体" w:cs="宋体"/>
          <w:spacing w:val="7"/>
          <w:sz w:val="35"/>
          <w:szCs w:val="35"/>
        </w:rPr>
      </w:pPr>
    </w:p>
    <w:p w14:paraId="34DDC161">
      <w:pPr>
        <w:pStyle w:val="7"/>
        <w:rPr>
          <w:rFonts w:ascii="宋体" w:hAnsi="宋体" w:eastAsia="宋体" w:cs="宋体"/>
          <w:spacing w:val="7"/>
          <w:sz w:val="35"/>
          <w:szCs w:val="35"/>
        </w:rPr>
      </w:pPr>
    </w:p>
    <w:p w14:paraId="3A50633B">
      <w:pPr>
        <w:pStyle w:val="7"/>
        <w:rPr>
          <w:rFonts w:ascii="宋体" w:hAnsi="宋体" w:eastAsia="宋体" w:cs="宋体"/>
          <w:spacing w:val="7"/>
          <w:sz w:val="35"/>
          <w:szCs w:val="35"/>
        </w:rPr>
      </w:pPr>
    </w:p>
    <w:p w14:paraId="23FABBE6">
      <w:pPr>
        <w:pStyle w:val="7"/>
        <w:rPr>
          <w:rFonts w:ascii="宋体" w:hAnsi="宋体" w:eastAsia="宋体" w:cs="宋体"/>
          <w:spacing w:val="7"/>
          <w:sz w:val="35"/>
          <w:szCs w:val="35"/>
        </w:rPr>
      </w:pPr>
    </w:p>
    <w:p w14:paraId="6135C042">
      <w:pPr>
        <w:pStyle w:val="7"/>
        <w:rPr>
          <w:rFonts w:ascii="宋体" w:hAnsi="宋体" w:eastAsia="宋体" w:cs="宋体"/>
          <w:spacing w:val="7"/>
          <w:sz w:val="35"/>
          <w:szCs w:val="35"/>
        </w:rPr>
      </w:pPr>
    </w:p>
    <w:p w14:paraId="43434827">
      <w:pPr>
        <w:pStyle w:val="7"/>
        <w:jc w:val="center"/>
        <w:rPr>
          <w:rFonts w:hint="eastAsia" w:ascii="宋体" w:hAnsi="宋体" w:eastAsia="宋体" w:cs="宋体"/>
          <w:spacing w:val="7"/>
          <w:sz w:val="35"/>
          <w:szCs w:val="35"/>
          <w:lang w:eastAsia="zh-CN"/>
        </w:rPr>
      </w:pPr>
      <w:r>
        <w:rPr>
          <w:rFonts w:hint="eastAsia" w:ascii="宋体" w:hAnsi="宋体" w:eastAsia="宋体" w:cs="宋体"/>
          <w:spacing w:val="7"/>
          <w:sz w:val="35"/>
          <w:szCs w:val="35"/>
          <w:lang w:eastAsia="zh-CN"/>
        </w:rPr>
        <w:t>江苏顺天工程项目管理咨询有限公司</w:t>
      </w:r>
    </w:p>
    <w:p w14:paraId="289EA0AC">
      <w:pPr>
        <w:pStyle w:val="7"/>
        <w:jc w:val="center"/>
        <w:rPr>
          <w:rFonts w:hint="default" w:ascii="宋体" w:hAnsi="宋体" w:eastAsia="宋体" w:cs="宋体"/>
          <w:spacing w:val="7"/>
          <w:sz w:val="35"/>
          <w:szCs w:val="35"/>
          <w:lang w:val="en-US" w:eastAsia="zh-CN"/>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spacing w:val="7"/>
          <w:sz w:val="35"/>
          <w:szCs w:val="35"/>
        </w:rPr>
        <w:t>2025-</w:t>
      </w:r>
      <w:r>
        <w:rPr>
          <w:rFonts w:hint="eastAsia" w:ascii="宋体" w:hAnsi="宋体" w:eastAsia="宋体" w:cs="宋体"/>
          <w:spacing w:val="7"/>
          <w:sz w:val="35"/>
          <w:szCs w:val="35"/>
          <w:lang w:val="en-US" w:eastAsia="zh-CN"/>
        </w:rPr>
        <w:t>11-13</w:t>
      </w:r>
    </w:p>
    <w:p w14:paraId="6886BDEC">
      <w:pPr>
        <w:jc w:val="center"/>
        <w:rPr>
          <w:b/>
          <w:bCs/>
          <w:sz w:val="32"/>
          <w:szCs w:val="32"/>
        </w:rPr>
      </w:pPr>
      <w:r>
        <w:rPr>
          <w:rFonts w:hint="eastAsia" w:ascii="宋体" w:hAnsi="宋体" w:eastAsia="宋体"/>
          <w:b/>
          <w:bCs/>
          <w:sz w:val="32"/>
          <w:szCs w:val="32"/>
        </w:rPr>
        <w:t xml:space="preserve">磋 商 </w:t>
      </w:r>
      <w:r>
        <w:rPr>
          <w:rFonts w:ascii="宋体" w:hAnsi="宋体" w:eastAsia="宋体"/>
          <w:b/>
          <w:bCs/>
          <w:sz w:val="32"/>
          <w:szCs w:val="32"/>
        </w:rPr>
        <w:t>目录</w:t>
      </w:r>
    </w:p>
    <w:sdt>
      <w:sdtPr>
        <w:rPr>
          <w:rFonts w:ascii="宋体" w:hAnsi="宋体" w:eastAsia="宋体"/>
          <w:szCs w:val="20"/>
        </w:rPr>
        <w:id w:val="147476342"/>
        <w:docPartObj>
          <w:docPartGallery w:val="Table of Contents"/>
          <w:docPartUnique/>
        </w:docPartObj>
      </w:sdtPr>
      <w:sdtEndPr>
        <w:rPr>
          <w:rFonts w:ascii="宋体" w:hAnsi="宋体" w:eastAsia="宋体" w:cs="宋体"/>
          <w:spacing w:val="7"/>
          <w:szCs w:val="35"/>
        </w:rPr>
      </w:sdtEndPr>
      <w:sdtContent>
        <w:p w14:paraId="143105F7">
          <w:pPr>
            <w:jc w:val="center"/>
          </w:pPr>
        </w:p>
        <w:p w14:paraId="233AD9DE">
          <w:pPr>
            <w:pStyle w:val="17"/>
            <w:tabs>
              <w:tab w:val="right" w:leader="dot" w:pos="8296"/>
            </w:tabs>
            <w:rPr>
              <w:szCs w:val="22"/>
            </w:rPr>
          </w:pPr>
          <w:r>
            <w:rPr>
              <w:rFonts w:ascii="宋体" w:hAnsi="宋体" w:eastAsia="宋体" w:cs="宋体"/>
              <w:spacing w:val="7"/>
              <w:sz w:val="35"/>
              <w:szCs w:val="35"/>
            </w:rPr>
            <w:fldChar w:fldCharType="begin"/>
          </w:r>
          <w:r>
            <w:rPr>
              <w:rFonts w:ascii="宋体" w:hAnsi="宋体" w:eastAsia="宋体" w:cs="宋体"/>
              <w:spacing w:val="7"/>
              <w:sz w:val="35"/>
              <w:szCs w:val="35"/>
            </w:rPr>
            <w:instrText xml:space="preserve">TOC \o "1-3" \h \u </w:instrText>
          </w:r>
          <w:r>
            <w:rPr>
              <w:rFonts w:ascii="宋体" w:hAnsi="宋体" w:eastAsia="宋体" w:cs="宋体"/>
              <w:spacing w:val="7"/>
              <w:sz w:val="35"/>
              <w:szCs w:val="35"/>
            </w:rPr>
            <w:fldChar w:fldCharType="separate"/>
          </w:r>
          <w:r>
            <w:fldChar w:fldCharType="begin"/>
          </w:r>
          <w:r>
            <w:instrText xml:space="preserve"> HYPERLINK \l "_Toc211511404" </w:instrText>
          </w:r>
          <w:r>
            <w:fldChar w:fldCharType="separate"/>
          </w:r>
          <w:r>
            <w:rPr>
              <w:rStyle w:val="29"/>
              <w:rFonts w:hint="eastAsia"/>
            </w:rPr>
            <w:t>第一部分磋商邀请</w:t>
          </w:r>
          <w:r>
            <w:tab/>
          </w:r>
          <w:r>
            <w:fldChar w:fldCharType="begin"/>
          </w:r>
          <w:r>
            <w:instrText xml:space="preserve"> PAGEREF _Toc211511404 \h </w:instrText>
          </w:r>
          <w:r>
            <w:fldChar w:fldCharType="separate"/>
          </w:r>
          <w:r>
            <w:t>5</w:t>
          </w:r>
          <w:r>
            <w:fldChar w:fldCharType="end"/>
          </w:r>
          <w:r>
            <w:fldChar w:fldCharType="end"/>
          </w:r>
        </w:p>
        <w:p w14:paraId="23C4EFE5">
          <w:pPr>
            <w:pStyle w:val="20"/>
            <w:tabs>
              <w:tab w:val="right" w:leader="dot" w:pos="8296"/>
            </w:tabs>
            <w:rPr>
              <w:szCs w:val="22"/>
            </w:rPr>
          </w:pPr>
          <w:r>
            <w:fldChar w:fldCharType="begin"/>
          </w:r>
          <w:r>
            <w:instrText xml:space="preserve"> HYPERLINK \l "_Toc211511405" </w:instrText>
          </w:r>
          <w:r>
            <w:fldChar w:fldCharType="separate"/>
          </w:r>
          <w:r>
            <w:rPr>
              <w:rStyle w:val="29"/>
              <w:rFonts w:hint="eastAsia"/>
            </w:rPr>
            <w:t>一、项目基本情况</w:t>
          </w:r>
          <w:r>
            <w:tab/>
          </w:r>
          <w:r>
            <w:fldChar w:fldCharType="begin"/>
          </w:r>
          <w:r>
            <w:instrText xml:space="preserve"> PAGEREF _Toc211511405 \h </w:instrText>
          </w:r>
          <w:r>
            <w:fldChar w:fldCharType="separate"/>
          </w:r>
          <w:r>
            <w:t>5</w:t>
          </w:r>
          <w:r>
            <w:fldChar w:fldCharType="end"/>
          </w:r>
          <w:r>
            <w:fldChar w:fldCharType="end"/>
          </w:r>
        </w:p>
        <w:p w14:paraId="5533DA4A">
          <w:pPr>
            <w:pStyle w:val="20"/>
            <w:tabs>
              <w:tab w:val="right" w:leader="dot" w:pos="8296"/>
            </w:tabs>
            <w:rPr>
              <w:szCs w:val="22"/>
            </w:rPr>
          </w:pPr>
          <w:r>
            <w:fldChar w:fldCharType="begin"/>
          </w:r>
          <w:r>
            <w:instrText xml:space="preserve"> HYPERLINK \l "_Toc211511406" </w:instrText>
          </w:r>
          <w:r>
            <w:fldChar w:fldCharType="separate"/>
          </w:r>
          <w:r>
            <w:rPr>
              <w:rStyle w:val="29"/>
              <w:rFonts w:hint="eastAsia"/>
            </w:rPr>
            <w:t>二、申请人的资格要求：</w:t>
          </w:r>
          <w:r>
            <w:tab/>
          </w:r>
          <w:r>
            <w:fldChar w:fldCharType="begin"/>
          </w:r>
          <w:r>
            <w:instrText xml:space="preserve"> PAGEREF _Toc211511406 \h </w:instrText>
          </w:r>
          <w:r>
            <w:fldChar w:fldCharType="separate"/>
          </w:r>
          <w:r>
            <w:t>5</w:t>
          </w:r>
          <w:r>
            <w:fldChar w:fldCharType="end"/>
          </w:r>
          <w:r>
            <w:fldChar w:fldCharType="end"/>
          </w:r>
        </w:p>
        <w:p w14:paraId="414A2844">
          <w:pPr>
            <w:pStyle w:val="12"/>
            <w:tabs>
              <w:tab w:val="right" w:leader="dot" w:pos="8296"/>
            </w:tabs>
            <w:rPr>
              <w:szCs w:val="22"/>
            </w:rPr>
          </w:pPr>
          <w:r>
            <w:fldChar w:fldCharType="begin"/>
          </w:r>
          <w:r>
            <w:instrText xml:space="preserve"> HYPERLINK \l "_Toc211511407" </w:instrText>
          </w:r>
          <w:r>
            <w:fldChar w:fldCharType="separate"/>
          </w:r>
          <w:r>
            <w:rPr>
              <w:rStyle w:val="29"/>
              <w:rFonts w:ascii="宋体" w:hAnsi="宋体" w:eastAsia="宋体" w:cs="宋体"/>
              <w:spacing w:val="-14"/>
            </w:rPr>
            <w:t>1.</w:t>
          </w:r>
          <w:r>
            <w:rPr>
              <w:rStyle w:val="29"/>
              <w:rFonts w:hint="eastAsia" w:ascii="宋体" w:hAnsi="宋体" w:eastAsia="宋体" w:cs="宋体"/>
              <w:spacing w:val="-14"/>
            </w:rPr>
            <w:t>满足《中华人民共和国政府采购法》第二十二条规定；</w:t>
          </w:r>
          <w:r>
            <w:tab/>
          </w:r>
          <w:r>
            <w:fldChar w:fldCharType="begin"/>
          </w:r>
          <w:r>
            <w:instrText xml:space="preserve"> PAGEREF _Toc211511407 \h </w:instrText>
          </w:r>
          <w:r>
            <w:fldChar w:fldCharType="separate"/>
          </w:r>
          <w:r>
            <w:t>5</w:t>
          </w:r>
          <w:r>
            <w:fldChar w:fldCharType="end"/>
          </w:r>
          <w:r>
            <w:fldChar w:fldCharType="end"/>
          </w:r>
        </w:p>
        <w:p w14:paraId="54F79B4F">
          <w:pPr>
            <w:pStyle w:val="12"/>
            <w:tabs>
              <w:tab w:val="right" w:leader="dot" w:pos="8296"/>
            </w:tabs>
            <w:rPr>
              <w:szCs w:val="22"/>
            </w:rPr>
          </w:pPr>
          <w:r>
            <w:fldChar w:fldCharType="begin"/>
          </w:r>
          <w:r>
            <w:instrText xml:space="preserve"> HYPERLINK \l "_Toc211511408" </w:instrText>
          </w:r>
          <w:r>
            <w:fldChar w:fldCharType="separate"/>
          </w:r>
          <w:r>
            <w:rPr>
              <w:rStyle w:val="29"/>
              <w:rFonts w:ascii="宋体" w:hAnsi="宋体" w:eastAsia="宋体" w:cs="宋体"/>
            </w:rPr>
            <w:t>2.</w:t>
          </w:r>
          <w:r>
            <w:rPr>
              <w:rStyle w:val="29"/>
              <w:rFonts w:hint="eastAsia" w:ascii="宋体" w:hAnsi="宋体" w:eastAsia="宋体" w:cs="宋体"/>
            </w:rPr>
            <w:t>落实政府采购政策需满足的资格要求：</w:t>
          </w:r>
          <w:r>
            <w:tab/>
          </w:r>
          <w:r>
            <w:fldChar w:fldCharType="begin"/>
          </w:r>
          <w:r>
            <w:instrText xml:space="preserve"> PAGEREF _Toc211511408 \h </w:instrText>
          </w:r>
          <w:r>
            <w:fldChar w:fldCharType="separate"/>
          </w:r>
          <w:r>
            <w:t>6</w:t>
          </w:r>
          <w:r>
            <w:fldChar w:fldCharType="end"/>
          </w:r>
          <w:r>
            <w:fldChar w:fldCharType="end"/>
          </w:r>
        </w:p>
        <w:p w14:paraId="3A0E010A">
          <w:pPr>
            <w:pStyle w:val="12"/>
            <w:tabs>
              <w:tab w:val="right" w:leader="dot" w:pos="8296"/>
            </w:tabs>
            <w:rPr>
              <w:szCs w:val="22"/>
            </w:rPr>
          </w:pPr>
          <w:r>
            <w:fldChar w:fldCharType="begin"/>
          </w:r>
          <w:r>
            <w:instrText xml:space="preserve"> HYPERLINK \l "_Toc211511409" </w:instrText>
          </w:r>
          <w:r>
            <w:fldChar w:fldCharType="separate"/>
          </w:r>
          <w:r>
            <w:rPr>
              <w:rStyle w:val="29"/>
              <w:rFonts w:ascii="宋体" w:hAnsi="宋体" w:eastAsia="宋体" w:cs="宋体"/>
            </w:rPr>
            <w:t>3.</w:t>
          </w:r>
          <w:r>
            <w:rPr>
              <w:rStyle w:val="29"/>
              <w:rFonts w:hint="eastAsia" w:ascii="宋体" w:hAnsi="宋体" w:eastAsia="宋体" w:cs="宋体"/>
            </w:rPr>
            <w:t>本项目的特定资格要求：</w:t>
          </w:r>
          <w:r>
            <w:tab/>
          </w:r>
          <w:r>
            <w:fldChar w:fldCharType="begin"/>
          </w:r>
          <w:r>
            <w:instrText xml:space="preserve"> PAGEREF _Toc211511409 \h </w:instrText>
          </w:r>
          <w:r>
            <w:fldChar w:fldCharType="separate"/>
          </w:r>
          <w:r>
            <w:t>6</w:t>
          </w:r>
          <w:r>
            <w:fldChar w:fldCharType="end"/>
          </w:r>
          <w:r>
            <w:fldChar w:fldCharType="end"/>
          </w:r>
        </w:p>
        <w:p w14:paraId="464AA038">
          <w:pPr>
            <w:pStyle w:val="20"/>
            <w:tabs>
              <w:tab w:val="right" w:leader="dot" w:pos="8296"/>
            </w:tabs>
            <w:rPr>
              <w:szCs w:val="22"/>
            </w:rPr>
          </w:pPr>
          <w:r>
            <w:fldChar w:fldCharType="begin"/>
          </w:r>
          <w:r>
            <w:instrText xml:space="preserve"> HYPERLINK \l "_Toc211511410" </w:instrText>
          </w:r>
          <w:r>
            <w:fldChar w:fldCharType="separate"/>
          </w:r>
          <w:r>
            <w:rPr>
              <w:rStyle w:val="29"/>
              <w:rFonts w:hint="eastAsia"/>
            </w:rPr>
            <w:t>三、获取磋商文件：本项目采用网上注册登记方式</w:t>
          </w:r>
          <w:r>
            <w:tab/>
          </w:r>
          <w:r>
            <w:fldChar w:fldCharType="begin"/>
          </w:r>
          <w:r>
            <w:instrText xml:space="preserve"> PAGEREF _Toc211511410 \h </w:instrText>
          </w:r>
          <w:r>
            <w:fldChar w:fldCharType="separate"/>
          </w:r>
          <w:r>
            <w:t>6</w:t>
          </w:r>
          <w:r>
            <w:fldChar w:fldCharType="end"/>
          </w:r>
          <w:r>
            <w:fldChar w:fldCharType="end"/>
          </w:r>
        </w:p>
        <w:p w14:paraId="37F1580A">
          <w:pPr>
            <w:pStyle w:val="20"/>
            <w:tabs>
              <w:tab w:val="right" w:leader="dot" w:pos="8296"/>
            </w:tabs>
            <w:rPr>
              <w:szCs w:val="22"/>
            </w:rPr>
          </w:pPr>
          <w:r>
            <w:fldChar w:fldCharType="begin"/>
          </w:r>
          <w:r>
            <w:instrText xml:space="preserve"> HYPERLINK \l "_Toc211511411" </w:instrText>
          </w:r>
          <w:r>
            <w:fldChar w:fldCharType="separate"/>
          </w:r>
          <w:r>
            <w:rPr>
              <w:rStyle w:val="29"/>
              <w:rFonts w:hint="eastAsia"/>
            </w:rPr>
            <w:t>四、提交磋商响应文件截止时间、开标时间和地点</w:t>
          </w:r>
          <w:r>
            <w:tab/>
          </w:r>
          <w:r>
            <w:fldChar w:fldCharType="begin"/>
          </w:r>
          <w:r>
            <w:instrText xml:space="preserve"> PAGEREF _Toc211511411 \h </w:instrText>
          </w:r>
          <w:r>
            <w:fldChar w:fldCharType="separate"/>
          </w:r>
          <w:r>
            <w:t>6</w:t>
          </w:r>
          <w:r>
            <w:fldChar w:fldCharType="end"/>
          </w:r>
          <w:r>
            <w:fldChar w:fldCharType="end"/>
          </w:r>
        </w:p>
        <w:p w14:paraId="40CB4D5A">
          <w:pPr>
            <w:pStyle w:val="20"/>
            <w:tabs>
              <w:tab w:val="right" w:leader="dot" w:pos="8296"/>
            </w:tabs>
            <w:rPr>
              <w:szCs w:val="22"/>
            </w:rPr>
          </w:pPr>
          <w:r>
            <w:fldChar w:fldCharType="begin"/>
          </w:r>
          <w:r>
            <w:instrText xml:space="preserve"> HYPERLINK \l "_Toc211511412" </w:instrText>
          </w:r>
          <w:r>
            <w:fldChar w:fldCharType="separate"/>
          </w:r>
          <w:r>
            <w:rPr>
              <w:rStyle w:val="29"/>
              <w:rFonts w:hint="eastAsia"/>
            </w:rPr>
            <w:t>五、公告期限</w:t>
          </w:r>
          <w:r>
            <w:tab/>
          </w:r>
          <w:r>
            <w:fldChar w:fldCharType="begin"/>
          </w:r>
          <w:r>
            <w:instrText xml:space="preserve"> PAGEREF _Toc211511412 \h </w:instrText>
          </w:r>
          <w:r>
            <w:fldChar w:fldCharType="separate"/>
          </w:r>
          <w:r>
            <w:t>8</w:t>
          </w:r>
          <w:r>
            <w:fldChar w:fldCharType="end"/>
          </w:r>
          <w:r>
            <w:fldChar w:fldCharType="end"/>
          </w:r>
        </w:p>
        <w:p w14:paraId="526347BE">
          <w:pPr>
            <w:pStyle w:val="20"/>
            <w:tabs>
              <w:tab w:val="right" w:leader="dot" w:pos="8296"/>
            </w:tabs>
            <w:rPr>
              <w:szCs w:val="22"/>
            </w:rPr>
          </w:pPr>
          <w:r>
            <w:fldChar w:fldCharType="begin"/>
          </w:r>
          <w:r>
            <w:instrText xml:space="preserve"> HYPERLINK \l "_Toc211511413" </w:instrText>
          </w:r>
          <w:r>
            <w:fldChar w:fldCharType="separate"/>
          </w:r>
          <w:r>
            <w:rPr>
              <w:rStyle w:val="29"/>
              <w:rFonts w:hint="eastAsia"/>
            </w:rPr>
            <w:t>六、其他补充事宜</w:t>
          </w:r>
          <w:r>
            <w:tab/>
          </w:r>
          <w:r>
            <w:fldChar w:fldCharType="begin"/>
          </w:r>
          <w:r>
            <w:instrText xml:space="preserve"> PAGEREF _Toc211511413 \h </w:instrText>
          </w:r>
          <w:r>
            <w:fldChar w:fldCharType="separate"/>
          </w:r>
          <w:r>
            <w:t>8</w:t>
          </w:r>
          <w:r>
            <w:fldChar w:fldCharType="end"/>
          </w:r>
          <w:r>
            <w:fldChar w:fldCharType="end"/>
          </w:r>
        </w:p>
        <w:p w14:paraId="45C419E4">
          <w:pPr>
            <w:pStyle w:val="20"/>
            <w:tabs>
              <w:tab w:val="right" w:leader="dot" w:pos="8296"/>
            </w:tabs>
            <w:rPr>
              <w:szCs w:val="22"/>
            </w:rPr>
          </w:pPr>
          <w:r>
            <w:fldChar w:fldCharType="begin"/>
          </w:r>
          <w:r>
            <w:instrText xml:space="preserve"> HYPERLINK \l "_Toc211511414" </w:instrText>
          </w:r>
          <w:r>
            <w:fldChar w:fldCharType="separate"/>
          </w:r>
          <w:r>
            <w:rPr>
              <w:rStyle w:val="29"/>
              <w:rFonts w:hint="eastAsia"/>
            </w:rPr>
            <w:t>七、对本次磋商提出询问，请按以下方式联系。</w:t>
          </w:r>
          <w:r>
            <w:tab/>
          </w:r>
          <w:r>
            <w:fldChar w:fldCharType="begin"/>
          </w:r>
          <w:r>
            <w:instrText xml:space="preserve"> PAGEREF _Toc211511414 \h </w:instrText>
          </w:r>
          <w:r>
            <w:fldChar w:fldCharType="separate"/>
          </w:r>
          <w:r>
            <w:t>8</w:t>
          </w:r>
          <w:r>
            <w:fldChar w:fldCharType="end"/>
          </w:r>
          <w:r>
            <w:fldChar w:fldCharType="end"/>
          </w:r>
        </w:p>
        <w:p w14:paraId="0F221FD1">
          <w:pPr>
            <w:pStyle w:val="12"/>
            <w:tabs>
              <w:tab w:val="right" w:leader="dot" w:pos="8296"/>
            </w:tabs>
            <w:rPr>
              <w:szCs w:val="22"/>
            </w:rPr>
          </w:pPr>
          <w:r>
            <w:fldChar w:fldCharType="begin"/>
          </w:r>
          <w:r>
            <w:instrText xml:space="preserve"> HYPERLINK \l "_Toc211511415" </w:instrText>
          </w:r>
          <w:r>
            <w:fldChar w:fldCharType="separate"/>
          </w:r>
          <w:r>
            <w:rPr>
              <w:rStyle w:val="29"/>
              <w:rFonts w:ascii="宋体" w:hAnsi="宋体" w:eastAsia="宋体" w:cs="宋体"/>
            </w:rPr>
            <w:t>1.</w:t>
          </w:r>
          <w:r>
            <w:rPr>
              <w:rStyle w:val="29"/>
              <w:rFonts w:hint="eastAsia" w:ascii="宋体" w:hAnsi="宋体" w:eastAsia="宋体" w:cs="宋体"/>
            </w:rPr>
            <w:t>采购人信息</w:t>
          </w:r>
          <w:r>
            <w:tab/>
          </w:r>
          <w:r>
            <w:fldChar w:fldCharType="begin"/>
          </w:r>
          <w:r>
            <w:instrText xml:space="preserve"> PAGEREF _Toc211511415 \h </w:instrText>
          </w:r>
          <w:r>
            <w:fldChar w:fldCharType="separate"/>
          </w:r>
          <w:r>
            <w:t>8</w:t>
          </w:r>
          <w:r>
            <w:fldChar w:fldCharType="end"/>
          </w:r>
          <w:r>
            <w:fldChar w:fldCharType="end"/>
          </w:r>
        </w:p>
        <w:p w14:paraId="2B2B3C31">
          <w:pPr>
            <w:pStyle w:val="17"/>
            <w:tabs>
              <w:tab w:val="right" w:leader="dot" w:pos="8296"/>
            </w:tabs>
            <w:rPr>
              <w:szCs w:val="22"/>
            </w:rPr>
          </w:pPr>
          <w:r>
            <w:fldChar w:fldCharType="begin"/>
          </w:r>
          <w:r>
            <w:instrText xml:space="preserve"> HYPERLINK \l "_Toc211511416" </w:instrText>
          </w:r>
          <w:r>
            <w:fldChar w:fldCharType="separate"/>
          </w:r>
          <w:r>
            <w:rPr>
              <w:rStyle w:val="29"/>
              <w:rFonts w:hint="eastAsia"/>
            </w:rPr>
            <w:t>第二部分供应商须知</w:t>
          </w:r>
          <w:r>
            <w:tab/>
          </w:r>
          <w:r>
            <w:fldChar w:fldCharType="begin"/>
          </w:r>
          <w:r>
            <w:instrText xml:space="preserve"> PAGEREF _Toc211511416 \h </w:instrText>
          </w:r>
          <w:r>
            <w:fldChar w:fldCharType="separate"/>
          </w:r>
          <w:r>
            <w:t>9</w:t>
          </w:r>
          <w:r>
            <w:fldChar w:fldCharType="end"/>
          </w:r>
          <w:r>
            <w:fldChar w:fldCharType="end"/>
          </w:r>
        </w:p>
        <w:p w14:paraId="34B0DE2C">
          <w:pPr>
            <w:pStyle w:val="20"/>
            <w:tabs>
              <w:tab w:val="right" w:leader="dot" w:pos="8296"/>
            </w:tabs>
            <w:rPr>
              <w:szCs w:val="22"/>
            </w:rPr>
          </w:pPr>
          <w:r>
            <w:fldChar w:fldCharType="begin"/>
          </w:r>
          <w:r>
            <w:instrText xml:space="preserve"> HYPERLINK \l "_Toc211511417" </w:instrText>
          </w:r>
          <w:r>
            <w:fldChar w:fldCharType="separate"/>
          </w:r>
          <w:r>
            <w:rPr>
              <w:rStyle w:val="29"/>
              <w:rFonts w:hint="eastAsia"/>
            </w:rPr>
            <w:t>一、总则</w:t>
          </w:r>
          <w:r>
            <w:tab/>
          </w:r>
          <w:r>
            <w:fldChar w:fldCharType="begin"/>
          </w:r>
          <w:r>
            <w:instrText xml:space="preserve"> PAGEREF _Toc211511417 \h </w:instrText>
          </w:r>
          <w:r>
            <w:fldChar w:fldCharType="separate"/>
          </w:r>
          <w:r>
            <w:t>9</w:t>
          </w:r>
          <w:r>
            <w:fldChar w:fldCharType="end"/>
          </w:r>
          <w:r>
            <w:fldChar w:fldCharType="end"/>
          </w:r>
        </w:p>
        <w:p w14:paraId="00480492">
          <w:pPr>
            <w:pStyle w:val="12"/>
            <w:tabs>
              <w:tab w:val="right" w:leader="dot" w:pos="8296"/>
            </w:tabs>
            <w:rPr>
              <w:szCs w:val="22"/>
            </w:rPr>
          </w:pPr>
          <w:r>
            <w:fldChar w:fldCharType="begin"/>
          </w:r>
          <w:r>
            <w:instrText xml:space="preserve"> HYPERLINK \l "_Toc211511418" </w:instrText>
          </w:r>
          <w:r>
            <w:fldChar w:fldCharType="separate"/>
          </w:r>
          <w:r>
            <w:rPr>
              <w:rStyle w:val="29"/>
            </w:rPr>
            <w:t>1.</w:t>
          </w:r>
          <w:r>
            <w:rPr>
              <w:rStyle w:val="29"/>
              <w:rFonts w:hint="eastAsia"/>
            </w:rPr>
            <w:t>适用范围</w:t>
          </w:r>
          <w:r>
            <w:tab/>
          </w:r>
          <w:r>
            <w:fldChar w:fldCharType="begin"/>
          </w:r>
          <w:r>
            <w:instrText xml:space="preserve"> PAGEREF _Toc211511418 \h </w:instrText>
          </w:r>
          <w:r>
            <w:fldChar w:fldCharType="separate"/>
          </w:r>
          <w:r>
            <w:t>9</w:t>
          </w:r>
          <w:r>
            <w:fldChar w:fldCharType="end"/>
          </w:r>
          <w:r>
            <w:fldChar w:fldCharType="end"/>
          </w:r>
        </w:p>
        <w:p w14:paraId="65E40C8F">
          <w:pPr>
            <w:pStyle w:val="12"/>
            <w:tabs>
              <w:tab w:val="right" w:leader="dot" w:pos="8296"/>
            </w:tabs>
            <w:rPr>
              <w:szCs w:val="22"/>
            </w:rPr>
          </w:pPr>
          <w:r>
            <w:fldChar w:fldCharType="begin"/>
          </w:r>
          <w:r>
            <w:instrText xml:space="preserve"> HYPERLINK \l "_Toc211511419" </w:instrText>
          </w:r>
          <w:r>
            <w:fldChar w:fldCharType="separate"/>
          </w:r>
          <w:r>
            <w:rPr>
              <w:rStyle w:val="29"/>
            </w:rPr>
            <w:t>2.</w:t>
          </w:r>
          <w:r>
            <w:rPr>
              <w:rStyle w:val="29"/>
              <w:rFonts w:hint="eastAsia"/>
            </w:rPr>
            <w:t>定义</w:t>
          </w:r>
          <w:r>
            <w:tab/>
          </w:r>
          <w:r>
            <w:fldChar w:fldCharType="begin"/>
          </w:r>
          <w:r>
            <w:instrText xml:space="preserve"> PAGEREF _Toc211511419 \h </w:instrText>
          </w:r>
          <w:r>
            <w:fldChar w:fldCharType="separate"/>
          </w:r>
          <w:r>
            <w:t>9</w:t>
          </w:r>
          <w:r>
            <w:fldChar w:fldCharType="end"/>
          </w:r>
          <w:r>
            <w:fldChar w:fldCharType="end"/>
          </w:r>
        </w:p>
        <w:p w14:paraId="78C2BAA4">
          <w:pPr>
            <w:pStyle w:val="12"/>
            <w:tabs>
              <w:tab w:val="right" w:leader="dot" w:pos="8296"/>
            </w:tabs>
            <w:rPr>
              <w:szCs w:val="22"/>
            </w:rPr>
          </w:pPr>
          <w:r>
            <w:fldChar w:fldCharType="begin"/>
          </w:r>
          <w:r>
            <w:instrText xml:space="preserve"> HYPERLINK \l "_Toc211511420" </w:instrText>
          </w:r>
          <w:r>
            <w:fldChar w:fldCharType="separate"/>
          </w:r>
          <w:r>
            <w:rPr>
              <w:rStyle w:val="29"/>
              <w:rFonts w:ascii="Times New Roman" w:hAnsi="Times New Roman" w:cs="Times New Roman"/>
            </w:rPr>
            <w:t>3.</w:t>
          </w:r>
          <w:r>
            <w:rPr>
              <w:rStyle w:val="29"/>
              <w:rFonts w:hint="eastAsia" w:ascii="Times New Roman" w:hAnsi="Times New Roman" w:cs="Times New Roman"/>
            </w:rPr>
            <w:t>本次采购方式</w:t>
          </w:r>
          <w:r>
            <w:tab/>
          </w:r>
          <w:r>
            <w:fldChar w:fldCharType="begin"/>
          </w:r>
          <w:r>
            <w:instrText xml:space="preserve"> PAGEREF _Toc211511420 \h </w:instrText>
          </w:r>
          <w:r>
            <w:fldChar w:fldCharType="separate"/>
          </w:r>
          <w:r>
            <w:t>9</w:t>
          </w:r>
          <w:r>
            <w:fldChar w:fldCharType="end"/>
          </w:r>
          <w:r>
            <w:fldChar w:fldCharType="end"/>
          </w:r>
        </w:p>
        <w:p w14:paraId="617F14FF">
          <w:pPr>
            <w:pStyle w:val="12"/>
            <w:tabs>
              <w:tab w:val="right" w:leader="dot" w:pos="8296"/>
            </w:tabs>
            <w:rPr>
              <w:szCs w:val="22"/>
            </w:rPr>
          </w:pPr>
          <w:r>
            <w:fldChar w:fldCharType="begin"/>
          </w:r>
          <w:r>
            <w:instrText xml:space="preserve"> HYPERLINK \l "_Toc211511421" </w:instrText>
          </w:r>
          <w:r>
            <w:fldChar w:fldCharType="separate"/>
          </w:r>
          <w:r>
            <w:rPr>
              <w:rStyle w:val="29"/>
              <w:rFonts w:ascii="Times New Roman" w:hAnsi="Times New Roman" w:cs="Times New Roman"/>
            </w:rPr>
            <w:t>4.</w:t>
          </w:r>
          <w:r>
            <w:rPr>
              <w:rStyle w:val="29"/>
              <w:rFonts w:hint="eastAsia" w:ascii="Times New Roman" w:hAnsi="Times New Roman" w:cs="Times New Roman"/>
            </w:rPr>
            <w:t>磋商费用</w:t>
          </w:r>
          <w:r>
            <w:tab/>
          </w:r>
          <w:r>
            <w:fldChar w:fldCharType="begin"/>
          </w:r>
          <w:r>
            <w:instrText xml:space="preserve"> PAGEREF _Toc211511421 \h </w:instrText>
          </w:r>
          <w:r>
            <w:fldChar w:fldCharType="separate"/>
          </w:r>
          <w:r>
            <w:t>9</w:t>
          </w:r>
          <w:r>
            <w:fldChar w:fldCharType="end"/>
          </w:r>
          <w:r>
            <w:fldChar w:fldCharType="end"/>
          </w:r>
        </w:p>
        <w:p w14:paraId="6355585F">
          <w:pPr>
            <w:pStyle w:val="12"/>
            <w:tabs>
              <w:tab w:val="right" w:leader="dot" w:pos="8296"/>
            </w:tabs>
            <w:rPr>
              <w:szCs w:val="22"/>
            </w:rPr>
          </w:pPr>
          <w:r>
            <w:fldChar w:fldCharType="begin"/>
          </w:r>
          <w:r>
            <w:instrText xml:space="preserve"> HYPERLINK \l "_Toc211511422" </w:instrText>
          </w:r>
          <w:r>
            <w:fldChar w:fldCharType="separate"/>
          </w:r>
          <w:r>
            <w:rPr>
              <w:rStyle w:val="29"/>
              <w:rFonts w:ascii="Times New Roman" w:hAnsi="Times New Roman" w:cs="Times New Roman"/>
            </w:rPr>
            <w:t>5.</w:t>
          </w:r>
          <w:r>
            <w:rPr>
              <w:rStyle w:val="29"/>
              <w:rFonts w:hint="eastAsia" w:ascii="Times New Roman" w:hAnsi="Times New Roman" w:cs="Times New Roman"/>
            </w:rPr>
            <w:t>政策功能</w:t>
          </w:r>
          <w:r>
            <w:tab/>
          </w:r>
          <w:r>
            <w:fldChar w:fldCharType="begin"/>
          </w:r>
          <w:r>
            <w:instrText xml:space="preserve"> PAGEREF _Toc211511422 \h </w:instrText>
          </w:r>
          <w:r>
            <w:fldChar w:fldCharType="separate"/>
          </w:r>
          <w:r>
            <w:t>10</w:t>
          </w:r>
          <w:r>
            <w:fldChar w:fldCharType="end"/>
          </w:r>
          <w:r>
            <w:fldChar w:fldCharType="end"/>
          </w:r>
        </w:p>
        <w:p w14:paraId="5C2C1744">
          <w:pPr>
            <w:pStyle w:val="20"/>
            <w:tabs>
              <w:tab w:val="right" w:leader="dot" w:pos="8296"/>
            </w:tabs>
            <w:rPr>
              <w:szCs w:val="22"/>
            </w:rPr>
          </w:pPr>
          <w:r>
            <w:fldChar w:fldCharType="begin"/>
          </w:r>
          <w:r>
            <w:instrText xml:space="preserve"> HYPERLINK \l "_Toc211511423" </w:instrText>
          </w:r>
          <w:r>
            <w:fldChar w:fldCharType="separate"/>
          </w:r>
          <w:r>
            <w:rPr>
              <w:rStyle w:val="29"/>
              <w:rFonts w:hint="eastAsia"/>
            </w:rPr>
            <w:t>二、磋商文件</w:t>
          </w:r>
          <w:r>
            <w:tab/>
          </w:r>
          <w:r>
            <w:fldChar w:fldCharType="begin"/>
          </w:r>
          <w:r>
            <w:instrText xml:space="preserve"> PAGEREF _Toc211511423 \h </w:instrText>
          </w:r>
          <w:r>
            <w:fldChar w:fldCharType="separate"/>
          </w:r>
          <w:r>
            <w:t>12</w:t>
          </w:r>
          <w:r>
            <w:fldChar w:fldCharType="end"/>
          </w:r>
          <w:r>
            <w:fldChar w:fldCharType="end"/>
          </w:r>
        </w:p>
        <w:p w14:paraId="228574FB">
          <w:pPr>
            <w:pStyle w:val="12"/>
            <w:tabs>
              <w:tab w:val="right" w:leader="dot" w:pos="8296"/>
            </w:tabs>
            <w:rPr>
              <w:szCs w:val="22"/>
            </w:rPr>
          </w:pPr>
          <w:r>
            <w:fldChar w:fldCharType="begin"/>
          </w:r>
          <w:r>
            <w:instrText xml:space="preserve"> HYPERLINK \l "_Toc211511424" </w:instrText>
          </w:r>
          <w:r>
            <w:fldChar w:fldCharType="separate"/>
          </w:r>
          <w:r>
            <w:rPr>
              <w:rStyle w:val="29"/>
              <w:rFonts w:ascii="宋体" w:hAnsi="宋体" w:eastAsia="宋体" w:cs="宋体"/>
            </w:rPr>
            <w:t>6.</w:t>
          </w:r>
          <w:r>
            <w:rPr>
              <w:rStyle w:val="29"/>
              <w:rFonts w:hint="eastAsia" w:ascii="宋体" w:hAnsi="宋体" w:eastAsia="宋体" w:cs="宋体"/>
            </w:rPr>
            <w:t>磋商文件组成</w:t>
          </w:r>
          <w:r>
            <w:tab/>
          </w:r>
          <w:r>
            <w:fldChar w:fldCharType="begin"/>
          </w:r>
          <w:r>
            <w:instrText xml:space="preserve"> PAGEREF _Toc211511424 \h </w:instrText>
          </w:r>
          <w:r>
            <w:fldChar w:fldCharType="separate"/>
          </w:r>
          <w:r>
            <w:t>12</w:t>
          </w:r>
          <w:r>
            <w:fldChar w:fldCharType="end"/>
          </w:r>
          <w:r>
            <w:fldChar w:fldCharType="end"/>
          </w:r>
        </w:p>
        <w:p w14:paraId="74E57C86">
          <w:pPr>
            <w:pStyle w:val="12"/>
            <w:tabs>
              <w:tab w:val="right" w:leader="dot" w:pos="8296"/>
            </w:tabs>
            <w:rPr>
              <w:szCs w:val="22"/>
            </w:rPr>
          </w:pPr>
          <w:r>
            <w:fldChar w:fldCharType="begin"/>
          </w:r>
          <w:r>
            <w:instrText xml:space="preserve"> HYPERLINK \l "_Toc211511425" </w:instrText>
          </w:r>
          <w:r>
            <w:fldChar w:fldCharType="separate"/>
          </w:r>
          <w:r>
            <w:rPr>
              <w:rStyle w:val="29"/>
              <w:rFonts w:ascii="宋体" w:hAnsi="宋体" w:eastAsia="宋体" w:cs="宋体"/>
            </w:rPr>
            <w:t>7.</w:t>
          </w:r>
          <w:r>
            <w:rPr>
              <w:rStyle w:val="29"/>
              <w:rFonts w:hint="eastAsia" w:ascii="宋体" w:hAnsi="宋体" w:eastAsia="宋体" w:cs="宋体"/>
            </w:rPr>
            <w:t>磋商文件的澄清和修改</w:t>
          </w:r>
          <w:r>
            <w:tab/>
          </w:r>
          <w:r>
            <w:fldChar w:fldCharType="begin"/>
          </w:r>
          <w:r>
            <w:instrText xml:space="preserve"> PAGEREF _Toc211511425 \h </w:instrText>
          </w:r>
          <w:r>
            <w:fldChar w:fldCharType="separate"/>
          </w:r>
          <w:r>
            <w:t>13</w:t>
          </w:r>
          <w:r>
            <w:fldChar w:fldCharType="end"/>
          </w:r>
          <w:r>
            <w:fldChar w:fldCharType="end"/>
          </w:r>
        </w:p>
        <w:p w14:paraId="22E71B7D">
          <w:pPr>
            <w:pStyle w:val="20"/>
            <w:tabs>
              <w:tab w:val="right" w:leader="dot" w:pos="8296"/>
            </w:tabs>
            <w:rPr>
              <w:szCs w:val="22"/>
            </w:rPr>
          </w:pPr>
          <w:r>
            <w:fldChar w:fldCharType="begin"/>
          </w:r>
          <w:r>
            <w:instrText xml:space="preserve"> HYPERLINK \l "_Toc211511426" </w:instrText>
          </w:r>
          <w:r>
            <w:fldChar w:fldCharType="separate"/>
          </w:r>
          <w:r>
            <w:rPr>
              <w:rStyle w:val="29"/>
              <w:rFonts w:hint="eastAsia"/>
            </w:rPr>
            <w:t>三、磋商响应文件</w:t>
          </w:r>
          <w:r>
            <w:tab/>
          </w:r>
          <w:r>
            <w:fldChar w:fldCharType="begin"/>
          </w:r>
          <w:r>
            <w:instrText xml:space="preserve"> PAGEREF _Toc211511426 \h </w:instrText>
          </w:r>
          <w:r>
            <w:fldChar w:fldCharType="separate"/>
          </w:r>
          <w:r>
            <w:t>13</w:t>
          </w:r>
          <w:r>
            <w:fldChar w:fldCharType="end"/>
          </w:r>
          <w:r>
            <w:fldChar w:fldCharType="end"/>
          </w:r>
        </w:p>
        <w:p w14:paraId="1716592A">
          <w:pPr>
            <w:pStyle w:val="12"/>
            <w:tabs>
              <w:tab w:val="right" w:leader="dot" w:pos="8296"/>
            </w:tabs>
            <w:rPr>
              <w:szCs w:val="22"/>
            </w:rPr>
          </w:pPr>
          <w:r>
            <w:fldChar w:fldCharType="begin"/>
          </w:r>
          <w:r>
            <w:instrText xml:space="preserve"> HYPERLINK \l "_Toc211511427" </w:instrText>
          </w:r>
          <w:r>
            <w:fldChar w:fldCharType="separate"/>
          </w:r>
          <w:r>
            <w:rPr>
              <w:rStyle w:val="29"/>
              <w:rFonts w:ascii="宋体" w:hAnsi="宋体" w:eastAsia="宋体" w:cs="宋体"/>
            </w:rPr>
            <w:t>8.</w:t>
          </w:r>
          <w:r>
            <w:rPr>
              <w:rStyle w:val="29"/>
              <w:rFonts w:hint="eastAsia" w:ascii="宋体" w:hAnsi="宋体" w:eastAsia="宋体" w:cs="宋体"/>
            </w:rPr>
            <w:t>编制响应文件的工具</w:t>
          </w:r>
          <w:r>
            <w:tab/>
          </w:r>
          <w:r>
            <w:fldChar w:fldCharType="begin"/>
          </w:r>
          <w:r>
            <w:instrText xml:space="preserve"> PAGEREF _Toc211511427 \h </w:instrText>
          </w:r>
          <w:r>
            <w:fldChar w:fldCharType="separate"/>
          </w:r>
          <w:r>
            <w:t>13</w:t>
          </w:r>
          <w:r>
            <w:fldChar w:fldCharType="end"/>
          </w:r>
          <w:r>
            <w:fldChar w:fldCharType="end"/>
          </w:r>
        </w:p>
        <w:p w14:paraId="4F675010">
          <w:pPr>
            <w:pStyle w:val="12"/>
            <w:tabs>
              <w:tab w:val="right" w:leader="dot" w:pos="8296"/>
            </w:tabs>
            <w:rPr>
              <w:szCs w:val="22"/>
            </w:rPr>
          </w:pPr>
          <w:r>
            <w:fldChar w:fldCharType="begin"/>
          </w:r>
          <w:r>
            <w:instrText xml:space="preserve"> HYPERLINK \l "_Toc211511428" </w:instrText>
          </w:r>
          <w:r>
            <w:fldChar w:fldCharType="separate"/>
          </w:r>
          <w:r>
            <w:rPr>
              <w:rStyle w:val="29"/>
              <w:rFonts w:ascii="宋体" w:hAnsi="宋体" w:eastAsia="宋体" w:cs="宋体"/>
            </w:rPr>
            <w:t>9.</w:t>
          </w:r>
          <w:r>
            <w:rPr>
              <w:rStyle w:val="29"/>
              <w:rFonts w:hint="eastAsia" w:ascii="宋体" w:hAnsi="宋体" w:eastAsia="宋体" w:cs="宋体"/>
            </w:rPr>
            <w:t>响应文件语言及度量衡单位</w:t>
          </w:r>
          <w:r>
            <w:tab/>
          </w:r>
          <w:r>
            <w:fldChar w:fldCharType="begin"/>
          </w:r>
          <w:r>
            <w:instrText xml:space="preserve"> PAGEREF _Toc211511428 \h </w:instrText>
          </w:r>
          <w:r>
            <w:fldChar w:fldCharType="separate"/>
          </w:r>
          <w:r>
            <w:t>14</w:t>
          </w:r>
          <w:r>
            <w:fldChar w:fldCharType="end"/>
          </w:r>
          <w:r>
            <w:fldChar w:fldCharType="end"/>
          </w:r>
        </w:p>
        <w:p w14:paraId="49774B4E">
          <w:pPr>
            <w:pStyle w:val="12"/>
            <w:tabs>
              <w:tab w:val="right" w:leader="dot" w:pos="8296"/>
            </w:tabs>
            <w:rPr>
              <w:szCs w:val="22"/>
            </w:rPr>
          </w:pPr>
          <w:r>
            <w:fldChar w:fldCharType="begin"/>
          </w:r>
          <w:r>
            <w:instrText xml:space="preserve"> HYPERLINK \l "_Toc211511429" </w:instrText>
          </w:r>
          <w:r>
            <w:fldChar w:fldCharType="separate"/>
          </w:r>
          <w:r>
            <w:rPr>
              <w:rStyle w:val="29"/>
              <w:rFonts w:ascii="宋体" w:hAnsi="宋体" w:eastAsia="宋体" w:cs="宋体"/>
            </w:rPr>
            <w:t>10.</w:t>
          </w:r>
          <w:r>
            <w:rPr>
              <w:rStyle w:val="29"/>
              <w:rFonts w:hint="eastAsia" w:ascii="宋体" w:hAnsi="宋体" w:eastAsia="宋体" w:cs="宋体"/>
            </w:rPr>
            <w:t>响应文件的构成</w:t>
          </w:r>
          <w:r>
            <w:tab/>
          </w:r>
          <w:r>
            <w:fldChar w:fldCharType="begin"/>
          </w:r>
          <w:r>
            <w:instrText xml:space="preserve"> PAGEREF _Toc211511429 \h </w:instrText>
          </w:r>
          <w:r>
            <w:fldChar w:fldCharType="separate"/>
          </w:r>
          <w:r>
            <w:t>14</w:t>
          </w:r>
          <w:r>
            <w:fldChar w:fldCharType="end"/>
          </w:r>
          <w:r>
            <w:fldChar w:fldCharType="end"/>
          </w:r>
        </w:p>
        <w:p w14:paraId="0090D2D8">
          <w:pPr>
            <w:pStyle w:val="12"/>
            <w:tabs>
              <w:tab w:val="right" w:leader="dot" w:pos="8296"/>
            </w:tabs>
            <w:rPr>
              <w:szCs w:val="22"/>
            </w:rPr>
          </w:pPr>
          <w:r>
            <w:fldChar w:fldCharType="begin"/>
          </w:r>
          <w:r>
            <w:instrText xml:space="preserve"> HYPERLINK \l "_Toc211511430" </w:instrText>
          </w:r>
          <w:r>
            <w:fldChar w:fldCharType="separate"/>
          </w:r>
          <w:r>
            <w:rPr>
              <w:rStyle w:val="29"/>
              <w:rFonts w:ascii="宋体" w:hAnsi="宋体" w:eastAsia="宋体" w:cs="宋体"/>
            </w:rPr>
            <w:t>11.</w:t>
          </w:r>
          <w:r>
            <w:rPr>
              <w:rStyle w:val="29"/>
              <w:rFonts w:hint="eastAsia" w:ascii="宋体" w:hAnsi="宋体" w:eastAsia="宋体" w:cs="宋体"/>
            </w:rPr>
            <w:t>响应文件的编写</w:t>
          </w:r>
          <w:r>
            <w:tab/>
          </w:r>
          <w:r>
            <w:fldChar w:fldCharType="begin"/>
          </w:r>
          <w:r>
            <w:instrText xml:space="preserve"> PAGEREF _Toc211511430 \h </w:instrText>
          </w:r>
          <w:r>
            <w:fldChar w:fldCharType="separate"/>
          </w:r>
          <w:r>
            <w:t>14</w:t>
          </w:r>
          <w:r>
            <w:fldChar w:fldCharType="end"/>
          </w:r>
          <w:r>
            <w:fldChar w:fldCharType="end"/>
          </w:r>
        </w:p>
        <w:p w14:paraId="4EF56456">
          <w:pPr>
            <w:pStyle w:val="12"/>
            <w:tabs>
              <w:tab w:val="right" w:leader="dot" w:pos="8296"/>
            </w:tabs>
            <w:rPr>
              <w:szCs w:val="22"/>
            </w:rPr>
          </w:pPr>
          <w:r>
            <w:fldChar w:fldCharType="begin"/>
          </w:r>
          <w:r>
            <w:instrText xml:space="preserve"> HYPERLINK \l "_Toc211511431" </w:instrText>
          </w:r>
          <w:r>
            <w:fldChar w:fldCharType="separate"/>
          </w:r>
          <w:r>
            <w:rPr>
              <w:rStyle w:val="29"/>
              <w:rFonts w:ascii="宋体" w:hAnsi="宋体" w:eastAsia="宋体" w:cs="宋体"/>
            </w:rPr>
            <w:t>12.</w:t>
          </w:r>
          <w:r>
            <w:rPr>
              <w:rStyle w:val="29"/>
              <w:rFonts w:hint="eastAsia" w:ascii="宋体" w:hAnsi="宋体" w:eastAsia="宋体" w:cs="宋体"/>
            </w:rPr>
            <w:t>响应报价</w:t>
          </w:r>
          <w:r>
            <w:tab/>
          </w:r>
          <w:r>
            <w:fldChar w:fldCharType="begin"/>
          </w:r>
          <w:r>
            <w:instrText xml:space="preserve"> PAGEREF _Toc211511431 \h </w:instrText>
          </w:r>
          <w:r>
            <w:fldChar w:fldCharType="separate"/>
          </w:r>
          <w:r>
            <w:t>14</w:t>
          </w:r>
          <w:r>
            <w:fldChar w:fldCharType="end"/>
          </w:r>
          <w:r>
            <w:fldChar w:fldCharType="end"/>
          </w:r>
        </w:p>
        <w:p w14:paraId="3717161A">
          <w:pPr>
            <w:pStyle w:val="12"/>
            <w:tabs>
              <w:tab w:val="right" w:leader="dot" w:pos="8296"/>
            </w:tabs>
            <w:rPr>
              <w:szCs w:val="22"/>
            </w:rPr>
          </w:pPr>
          <w:r>
            <w:fldChar w:fldCharType="begin"/>
          </w:r>
          <w:r>
            <w:instrText xml:space="preserve"> HYPERLINK \l "_Toc211511432" </w:instrText>
          </w:r>
          <w:r>
            <w:fldChar w:fldCharType="separate"/>
          </w:r>
          <w:r>
            <w:rPr>
              <w:rStyle w:val="29"/>
              <w:rFonts w:ascii="宋体" w:hAnsi="宋体" w:eastAsia="宋体" w:cs="宋体"/>
            </w:rPr>
            <w:t>13.</w:t>
          </w:r>
          <w:r>
            <w:rPr>
              <w:rStyle w:val="29"/>
              <w:rFonts w:hint="eastAsia" w:ascii="宋体" w:hAnsi="宋体" w:eastAsia="宋体" w:cs="宋体"/>
            </w:rPr>
            <w:t>磋商保证金</w:t>
          </w:r>
          <w:r>
            <w:tab/>
          </w:r>
          <w:r>
            <w:fldChar w:fldCharType="begin"/>
          </w:r>
          <w:r>
            <w:instrText xml:space="preserve"> PAGEREF _Toc211511432 \h </w:instrText>
          </w:r>
          <w:r>
            <w:fldChar w:fldCharType="separate"/>
          </w:r>
          <w:r>
            <w:t>15</w:t>
          </w:r>
          <w:r>
            <w:fldChar w:fldCharType="end"/>
          </w:r>
          <w:r>
            <w:fldChar w:fldCharType="end"/>
          </w:r>
        </w:p>
        <w:p w14:paraId="0BB7C71A">
          <w:pPr>
            <w:pStyle w:val="12"/>
            <w:tabs>
              <w:tab w:val="right" w:leader="dot" w:pos="8296"/>
            </w:tabs>
            <w:rPr>
              <w:szCs w:val="22"/>
            </w:rPr>
          </w:pPr>
          <w:r>
            <w:fldChar w:fldCharType="begin"/>
          </w:r>
          <w:r>
            <w:instrText xml:space="preserve"> HYPERLINK \l "_Toc211511433" </w:instrText>
          </w:r>
          <w:r>
            <w:fldChar w:fldCharType="separate"/>
          </w:r>
          <w:r>
            <w:rPr>
              <w:rStyle w:val="29"/>
              <w:rFonts w:ascii="宋体" w:hAnsi="宋体" w:eastAsia="宋体" w:cs="宋体"/>
            </w:rPr>
            <w:t>14.</w:t>
          </w:r>
          <w:r>
            <w:rPr>
              <w:rStyle w:val="29"/>
              <w:rFonts w:hint="eastAsia" w:ascii="宋体" w:hAnsi="宋体" w:eastAsia="宋体" w:cs="宋体"/>
            </w:rPr>
            <w:t>磋商响应有效期</w:t>
          </w:r>
          <w:r>
            <w:tab/>
          </w:r>
          <w:r>
            <w:fldChar w:fldCharType="begin"/>
          </w:r>
          <w:r>
            <w:instrText xml:space="preserve"> PAGEREF _Toc211511433 \h </w:instrText>
          </w:r>
          <w:r>
            <w:fldChar w:fldCharType="separate"/>
          </w:r>
          <w:r>
            <w:t>15</w:t>
          </w:r>
          <w:r>
            <w:fldChar w:fldCharType="end"/>
          </w:r>
          <w:r>
            <w:fldChar w:fldCharType="end"/>
          </w:r>
        </w:p>
        <w:p w14:paraId="245DFA40">
          <w:pPr>
            <w:pStyle w:val="12"/>
            <w:tabs>
              <w:tab w:val="right" w:leader="dot" w:pos="8296"/>
            </w:tabs>
            <w:rPr>
              <w:szCs w:val="22"/>
            </w:rPr>
          </w:pPr>
          <w:r>
            <w:fldChar w:fldCharType="begin"/>
          </w:r>
          <w:r>
            <w:instrText xml:space="preserve"> HYPERLINK \l "_Toc211511434" </w:instrText>
          </w:r>
          <w:r>
            <w:fldChar w:fldCharType="separate"/>
          </w:r>
          <w:r>
            <w:rPr>
              <w:rStyle w:val="29"/>
              <w:rFonts w:ascii="宋体" w:hAnsi="宋体" w:eastAsia="宋体" w:cs="宋体"/>
            </w:rPr>
            <w:t>15.</w:t>
          </w:r>
          <w:r>
            <w:rPr>
              <w:rStyle w:val="29"/>
              <w:rFonts w:hint="eastAsia" w:ascii="宋体" w:hAnsi="宋体" w:eastAsia="宋体" w:cs="宋体"/>
            </w:rPr>
            <w:t>响应文件的式样和签署</w:t>
          </w:r>
          <w:r>
            <w:tab/>
          </w:r>
          <w:r>
            <w:fldChar w:fldCharType="begin"/>
          </w:r>
          <w:r>
            <w:instrText xml:space="preserve"> PAGEREF _Toc211511434 \h </w:instrText>
          </w:r>
          <w:r>
            <w:fldChar w:fldCharType="separate"/>
          </w:r>
          <w:r>
            <w:t>15</w:t>
          </w:r>
          <w:r>
            <w:fldChar w:fldCharType="end"/>
          </w:r>
          <w:r>
            <w:fldChar w:fldCharType="end"/>
          </w:r>
        </w:p>
        <w:p w14:paraId="44563FDE">
          <w:pPr>
            <w:pStyle w:val="12"/>
            <w:tabs>
              <w:tab w:val="right" w:leader="dot" w:pos="8296"/>
            </w:tabs>
            <w:rPr>
              <w:szCs w:val="22"/>
            </w:rPr>
          </w:pPr>
          <w:r>
            <w:fldChar w:fldCharType="begin"/>
          </w:r>
          <w:r>
            <w:instrText xml:space="preserve"> HYPERLINK \l "_Toc211511435" </w:instrText>
          </w:r>
          <w:r>
            <w:fldChar w:fldCharType="separate"/>
          </w:r>
          <w:r>
            <w:rPr>
              <w:rStyle w:val="29"/>
              <w:rFonts w:ascii="宋体" w:hAnsi="宋体" w:eastAsia="宋体" w:cs="宋体"/>
            </w:rPr>
            <w:t>16.</w:t>
          </w:r>
          <w:r>
            <w:rPr>
              <w:rStyle w:val="29"/>
              <w:rFonts w:hint="eastAsia" w:ascii="宋体" w:hAnsi="宋体" w:eastAsia="宋体" w:cs="宋体"/>
            </w:rPr>
            <w:t>响应文件的提交</w:t>
          </w:r>
          <w:r>
            <w:tab/>
          </w:r>
          <w:r>
            <w:fldChar w:fldCharType="begin"/>
          </w:r>
          <w:r>
            <w:instrText xml:space="preserve"> PAGEREF _Toc211511435 \h </w:instrText>
          </w:r>
          <w:r>
            <w:fldChar w:fldCharType="separate"/>
          </w:r>
          <w:r>
            <w:t>15</w:t>
          </w:r>
          <w:r>
            <w:fldChar w:fldCharType="end"/>
          </w:r>
          <w:r>
            <w:fldChar w:fldCharType="end"/>
          </w:r>
        </w:p>
        <w:p w14:paraId="3BDD0097">
          <w:pPr>
            <w:pStyle w:val="12"/>
            <w:tabs>
              <w:tab w:val="right" w:leader="dot" w:pos="8296"/>
            </w:tabs>
            <w:rPr>
              <w:szCs w:val="22"/>
            </w:rPr>
          </w:pPr>
          <w:r>
            <w:fldChar w:fldCharType="begin"/>
          </w:r>
          <w:r>
            <w:instrText xml:space="preserve"> HYPERLINK \l "_Toc211511436" </w:instrText>
          </w:r>
          <w:r>
            <w:fldChar w:fldCharType="separate"/>
          </w:r>
          <w:r>
            <w:rPr>
              <w:rStyle w:val="29"/>
              <w:rFonts w:ascii="宋体" w:hAnsi="宋体" w:eastAsia="宋体" w:cs="宋体"/>
            </w:rPr>
            <w:t>17.</w:t>
          </w:r>
          <w:r>
            <w:rPr>
              <w:rStyle w:val="29"/>
              <w:rFonts w:hint="eastAsia" w:ascii="宋体" w:hAnsi="宋体" w:eastAsia="宋体" w:cs="宋体"/>
            </w:rPr>
            <w:t>响应文件的补充、修改或者撤回</w:t>
          </w:r>
          <w:r>
            <w:tab/>
          </w:r>
          <w:r>
            <w:fldChar w:fldCharType="begin"/>
          </w:r>
          <w:r>
            <w:instrText xml:space="preserve"> PAGEREF _Toc211511436 \h </w:instrText>
          </w:r>
          <w:r>
            <w:fldChar w:fldCharType="separate"/>
          </w:r>
          <w:r>
            <w:t>16</w:t>
          </w:r>
          <w:r>
            <w:fldChar w:fldCharType="end"/>
          </w:r>
          <w:r>
            <w:fldChar w:fldCharType="end"/>
          </w:r>
        </w:p>
        <w:p w14:paraId="286C6BA3">
          <w:pPr>
            <w:pStyle w:val="20"/>
            <w:tabs>
              <w:tab w:val="right" w:leader="dot" w:pos="8296"/>
            </w:tabs>
            <w:rPr>
              <w:szCs w:val="22"/>
            </w:rPr>
          </w:pPr>
          <w:r>
            <w:fldChar w:fldCharType="begin"/>
          </w:r>
          <w:r>
            <w:instrText xml:space="preserve"> HYPERLINK \l "_Toc211511437" </w:instrText>
          </w:r>
          <w:r>
            <w:fldChar w:fldCharType="separate"/>
          </w:r>
          <w:r>
            <w:rPr>
              <w:rStyle w:val="29"/>
              <w:rFonts w:hint="eastAsia"/>
            </w:rPr>
            <w:t>四、磋商与评审</w:t>
          </w:r>
          <w:r>
            <w:tab/>
          </w:r>
          <w:r>
            <w:fldChar w:fldCharType="begin"/>
          </w:r>
          <w:r>
            <w:instrText xml:space="preserve"> PAGEREF _Toc211511437 \h </w:instrText>
          </w:r>
          <w:r>
            <w:fldChar w:fldCharType="separate"/>
          </w:r>
          <w:r>
            <w:t>16</w:t>
          </w:r>
          <w:r>
            <w:fldChar w:fldCharType="end"/>
          </w:r>
          <w:r>
            <w:fldChar w:fldCharType="end"/>
          </w:r>
        </w:p>
        <w:p w14:paraId="626A0A54">
          <w:pPr>
            <w:pStyle w:val="12"/>
            <w:tabs>
              <w:tab w:val="right" w:leader="dot" w:pos="8296"/>
            </w:tabs>
            <w:rPr>
              <w:szCs w:val="22"/>
            </w:rPr>
          </w:pPr>
          <w:r>
            <w:fldChar w:fldCharType="begin"/>
          </w:r>
          <w:r>
            <w:instrText xml:space="preserve"> HYPERLINK \l "_Toc211511438" </w:instrText>
          </w:r>
          <w:r>
            <w:fldChar w:fldCharType="separate"/>
          </w:r>
          <w:r>
            <w:rPr>
              <w:rStyle w:val="29"/>
              <w:rFonts w:ascii="宋体" w:hAnsi="宋体" w:eastAsia="宋体" w:cs="宋体"/>
            </w:rPr>
            <w:t>18.</w:t>
          </w:r>
          <w:r>
            <w:rPr>
              <w:rStyle w:val="29"/>
              <w:rFonts w:hint="eastAsia" w:ascii="宋体" w:hAnsi="宋体" w:eastAsia="宋体" w:cs="宋体"/>
            </w:rPr>
            <w:t>磋商</w:t>
          </w:r>
          <w:r>
            <w:tab/>
          </w:r>
          <w:r>
            <w:fldChar w:fldCharType="begin"/>
          </w:r>
          <w:r>
            <w:instrText xml:space="preserve"> PAGEREF _Toc211511438 \h </w:instrText>
          </w:r>
          <w:r>
            <w:fldChar w:fldCharType="separate"/>
          </w:r>
          <w:r>
            <w:t>16</w:t>
          </w:r>
          <w:r>
            <w:fldChar w:fldCharType="end"/>
          </w:r>
          <w:r>
            <w:fldChar w:fldCharType="end"/>
          </w:r>
        </w:p>
        <w:p w14:paraId="191B289C">
          <w:pPr>
            <w:pStyle w:val="12"/>
            <w:tabs>
              <w:tab w:val="right" w:leader="dot" w:pos="8296"/>
            </w:tabs>
            <w:rPr>
              <w:szCs w:val="22"/>
            </w:rPr>
          </w:pPr>
          <w:r>
            <w:fldChar w:fldCharType="begin"/>
          </w:r>
          <w:r>
            <w:instrText xml:space="preserve"> HYPERLINK \l "_Toc211511439" </w:instrText>
          </w:r>
          <w:r>
            <w:fldChar w:fldCharType="separate"/>
          </w:r>
          <w:r>
            <w:rPr>
              <w:rStyle w:val="29"/>
              <w:rFonts w:ascii="宋体" w:hAnsi="宋体" w:eastAsia="宋体" w:cs="宋体"/>
            </w:rPr>
            <w:t>19.</w:t>
          </w:r>
          <w:r>
            <w:rPr>
              <w:rStyle w:val="29"/>
              <w:rFonts w:hint="eastAsia" w:ascii="宋体" w:hAnsi="宋体" w:eastAsia="宋体" w:cs="宋体"/>
            </w:rPr>
            <w:t>磋商小组组成</w:t>
          </w:r>
          <w:r>
            <w:tab/>
          </w:r>
          <w:r>
            <w:fldChar w:fldCharType="begin"/>
          </w:r>
          <w:r>
            <w:instrText xml:space="preserve"> PAGEREF _Toc211511439 \h </w:instrText>
          </w:r>
          <w:r>
            <w:fldChar w:fldCharType="separate"/>
          </w:r>
          <w:r>
            <w:t>17</w:t>
          </w:r>
          <w:r>
            <w:fldChar w:fldCharType="end"/>
          </w:r>
          <w:r>
            <w:fldChar w:fldCharType="end"/>
          </w:r>
        </w:p>
        <w:p w14:paraId="41F1B852">
          <w:pPr>
            <w:pStyle w:val="12"/>
            <w:tabs>
              <w:tab w:val="right" w:leader="dot" w:pos="8296"/>
            </w:tabs>
            <w:rPr>
              <w:szCs w:val="22"/>
            </w:rPr>
          </w:pPr>
          <w:r>
            <w:fldChar w:fldCharType="begin"/>
          </w:r>
          <w:r>
            <w:instrText xml:space="preserve"> HYPERLINK \l "_Toc211511440" </w:instrText>
          </w:r>
          <w:r>
            <w:fldChar w:fldCharType="separate"/>
          </w:r>
          <w:r>
            <w:rPr>
              <w:rStyle w:val="29"/>
              <w:rFonts w:ascii="宋体" w:hAnsi="宋体" w:eastAsia="宋体" w:cs="宋体"/>
            </w:rPr>
            <w:t>20.</w:t>
          </w:r>
          <w:r>
            <w:rPr>
              <w:rStyle w:val="29"/>
              <w:rFonts w:hint="eastAsia" w:ascii="宋体" w:hAnsi="宋体" w:eastAsia="宋体" w:cs="宋体"/>
            </w:rPr>
            <w:t>无效磋商的情形</w:t>
          </w:r>
          <w:r>
            <w:tab/>
          </w:r>
          <w:r>
            <w:fldChar w:fldCharType="begin"/>
          </w:r>
          <w:r>
            <w:instrText xml:space="preserve"> PAGEREF _Toc211511440 \h </w:instrText>
          </w:r>
          <w:r>
            <w:fldChar w:fldCharType="separate"/>
          </w:r>
          <w:r>
            <w:t>17</w:t>
          </w:r>
          <w:r>
            <w:fldChar w:fldCharType="end"/>
          </w:r>
          <w:r>
            <w:fldChar w:fldCharType="end"/>
          </w:r>
        </w:p>
        <w:p w14:paraId="7138FED9">
          <w:pPr>
            <w:pStyle w:val="12"/>
            <w:tabs>
              <w:tab w:val="right" w:leader="dot" w:pos="8296"/>
            </w:tabs>
            <w:rPr>
              <w:szCs w:val="22"/>
            </w:rPr>
          </w:pPr>
          <w:r>
            <w:fldChar w:fldCharType="begin"/>
          </w:r>
          <w:r>
            <w:instrText xml:space="preserve"> HYPERLINK \l "_Toc211511441" </w:instrText>
          </w:r>
          <w:r>
            <w:fldChar w:fldCharType="separate"/>
          </w:r>
          <w:r>
            <w:rPr>
              <w:rStyle w:val="29"/>
              <w:rFonts w:ascii="宋体" w:hAnsi="宋体" w:eastAsia="宋体" w:cs="宋体"/>
            </w:rPr>
            <w:t>21.</w:t>
          </w:r>
          <w:r>
            <w:rPr>
              <w:rStyle w:val="29"/>
              <w:rFonts w:hint="eastAsia" w:ascii="宋体" w:hAnsi="宋体" w:eastAsia="宋体" w:cs="宋体"/>
            </w:rPr>
            <w:t>串通磋商的情形</w:t>
          </w:r>
          <w:r>
            <w:tab/>
          </w:r>
          <w:r>
            <w:fldChar w:fldCharType="begin"/>
          </w:r>
          <w:r>
            <w:instrText xml:space="preserve"> PAGEREF _Toc211511441 \h </w:instrText>
          </w:r>
          <w:r>
            <w:fldChar w:fldCharType="separate"/>
          </w:r>
          <w:r>
            <w:t>18</w:t>
          </w:r>
          <w:r>
            <w:fldChar w:fldCharType="end"/>
          </w:r>
          <w:r>
            <w:fldChar w:fldCharType="end"/>
          </w:r>
        </w:p>
        <w:p w14:paraId="3295BB9A">
          <w:pPr>
            <w:pStyle w:val="12"/>
            <w:tabs>
              <w:tab w:val="right" w:leader="dot" w:pos="8296"/>
            </w:tabs>
            <w:rPr>
              <w:szCs w:val="22"/>
            </w:rPr>
          </w:pPr>
          <w:r>
            <w:fldChar w:fldCharType="begin"/>
          </w:r>
          <w:r>
            <w:instrText xml:space="preserve"> HYPERLINK \l "_Toc211511442" </w:instrText>
          </w:r>
          <w:r>
            <w:fldChar w:fldCharType="separate"/>
          </w:r>
          <w:r>
            <w:rPr>
              <w:rStyle w:val="29"/>
              <w:rFonts w:ascii="宋体" w:hAnsi="宋体" w:eastAsia="宋体" w:cs="宋体"/>
            </w:rPr>
            <w:t>22.</w:t>
          </w:r>
          <w:r>
            <w:rPr>
              <w:rStyle w:val="29"/>
              <w:rFonts w:hint="eastAsia" w:ascii="宋体" w:hAnsi="宋体" w:eastAsia="宋体" w:cs="宋体"/>
            </w:rPr>
            <w:t>响应文件的澄清</w:t>
          </w:r>
          <w:r>
            <w:tab/>
          </w:r>
          <w:r>
            <w:fldChar w:fldCharType="begin"/>
          </w:r>
          <w:r>
            <w:instrText xml:space="preserve"> PAGEREF _Toc211511442 \h </w:instrText>
          </w:r>
          <w:r>
            <w:fldChar w:fldCharType="separate"/>
          </w:r>
          <w:r>
            <w:t>18</w:t>
          </w:r>
          <w:r>
            <w:fldChar w:fldCharType="end"/>
          </w:r>
          <w:r>
            <w:fldChar w:fldCharType="end"/>
          </w:r>
        </w:p>
        <w:p w14:paraId="354AC4A9">
          <w:pPr>
            <w:pStyle w:val="12"/>
            <w:tabs>
              <w:tab w:val="right" w:leader="dot" w:pos="8296"/>
            </w:tabs>
            <w:rPr>
              <w:szCs w:val="22"/>
            </w:rPr>
          </w:pPr>
          <w:r>
            <w:fldChar w:fldCharType="begin"/>
          </w:r>
          <w:r>
            <w:instrText xml:space="preserve"> HYPERLINK \l "_Toc211511443" </w:instrText>
          </w:r>
          <w:r>
            <w:fldChar w:fldCharType="separate"/>
          </w:r>
          <w:r>
            <w:rPr>
              <w:rStyle w:val="29"/>
              <w:rFonts w:ascii="宋体" w:hAnsi="宋体" w:eastAsia="宋体" w:cs="宋体"/>
            </w:rPr>
            <w:t>23.</w:t>
          </w:r>
          <w:r>
            <w:rPr>
              <w:rStyle w:val="29"/>
              <w:rFonts w:hint="eastAsia" w:ascii="宋体" w:hAnsi="宋体" w:eastAsia="宋体" w:cs="宋体"/>
            </w:rPr>
            <w:t>磋商内容</w:t>
          </w:r>
          <w:r>
            <w:tab/>
          </w:r>
          <w:r>
            <w:fldChar w:fldCharType="begin"/>
          </w:r>
          <w:r>
            <w:instrText xml:space="preserve"> PAGEREF _Toc211511443 \h </w:instrText>
          </w:r>
          <w:r>
            <w:fldChar w:fldCharType="separate"/>
          </w:r>
          <w:r>
            <w:t>19</w:t>
          </w:r>
          <w:r>
            <w:fldChar w:fldCharType="end"/>
          </w:r>
          <w:r>
            <w:fldChar w:fldCharType="end"/>
          </w:r>
        </w:p>
        <w:p w14:paraId="10674656">
          <w:pPr>
            <w:pStyle w:val="12"/>
            <w:tabs>
              <w:tab w:val="right" w:leader="dot" w:pos="8296"/>
            </w:tabs>
            <w:rPr>
              <w:szCs w:val="22"/>
            </w:rPr>
          </w:pPr>
          <w:r>
            <w:fldChar w:fldCharType="begin"/>
          </w:r>
          <w:r>
            <w:instrText xml:space="preserve"> HYPERLINK \l "_Toc211511444" </w:instrText>
          </w:r>
          <w:r>
            <w:fldChar w:fldCharType="separate"/>
          </w:r>
          <w:r>
            <w:rPr>
              <w:rStyle w:val="29"/>
              <w:rFonts w:ascii="宋体" w:hAnsi="宋体" w:eastAsia="宋体" w:cs="宋体"/>
            </w:rPr>
            <w:t>24.</w:t>
          </w:r>
          <w:r>
            <w:rPr>
              <w:rStyle w:val="29"/>
              <w:rFonts w:hint="eastAsia" w:ascii="宋体" w:hAnsi="宋体" w:eastAsia="宋体" w:cs="宋体"/>
            </w:rPr>
            <w:t>最后报价的提交</w:t>
          </w:r>
          <w:r>
            <w:tab/>
          </w:r>
          <w:r>
            <w:fldChar w:fldCharType="begin"/>
          </w:r>
          <w:r>
            <w:instrText xml:space="preserve"> PAGEREF _Toc211511444 \h </w:instrText>
          </w:r>
          <w:r>
            <w:fldChar w:fldCharType="separate"/>
          </w:r>
          <w:r>
            <w:t>19</w:t>
          </w:r>
          <w:r>
            <w:fldChar w:fldCharType="end"/>
          </w:r>
          <w:r>
            <w:fldChar w:fldCharType="end"/>
          </w:r>
        </w:p>
        <w:p w14:paraId="65021AE5">
          <w:pPr>
            <w:pStyle w:val="12"/>
            <w:tabs>
              <w:tab w:val="right" w:leader="dot" w:pos="8296"/>
            </w:tabs>
            <w:rPr>
              <w:szCs w:val="22"/>
            </w:rPr>
          </w:pPr>
          <w:r>
            <w:fldChar w:fldCharType="begin"/>
          </w:r>
          <w:r>
            <w:instrText xml:space="preserve"> HYPERLINK \l "_Toc211511445" </w:instrText>
          </w:r>
          <w:r>
            <w:fldChar w:fldCharType="separate"/>
          </w:r>
          <w:r>
            <w:rPr>
              <w:rStyle w:val="29"/>
              <w:rFonts w:ascii="宋体" w:hAnsi="宋体" w:eastAsia="宋体" w:cs="宋体"/>
            </w:rPr>
            <w:t>25.</w:t>
          </w:r>
          <w:r>
            <w:rPr>
              <w:rStyle w:val="29"/>
              <w:rFonts w:hint="eastAsia" w:ascii="宋体" w:hAnsi="宋体" w:eastAsia="宋体" w:cs="宋体"/>
            </w:rPr>
            <w:t>竞争性磋商特殊情况处理</w:t>
          </w:r>
          <w:r>
            <w:tab/>
          </w:r>
          <w:r>
            <w:fldChar w:fldCharType="begin"/>
          </w:r>
          <w:r>
            <w:instrText xml:space="preserve"> PAGEREF _Toc211511445 \h </w:instrText>
          </w:r>
          <w:r>
            <w:fldChar w:fldCharType="separate"/>
          </w:r>
          <w:r>
            <w:t>20</w:t>
          </w:r>
          <w:r>
            <w:fldChar w:fldCharType="end"/>
          </w:r>
          <w:r>
            <w:fldChar w:fldCharType="end"/>
          </w:r>
        </w:p>
        <w:p w14:paraId="1CCEB23D">
          <w:pPr>
            <w:pStyle w:val="20"/>
            <w:tabs>
              <w:tab w:val="right" w:leader="dot" w:pos="8296"/>
            </w:tabs>
            <w:rPr>
              <w:szCs w:val="22"/>
            </w:rPr>
          </w:pPr>
          <w:r>
            <w:fldChar w:fldCharType="begin"/>
          </w:r>
          <w:r>
            <w:instrText xml:space="preserve"> HYPERLINK \l "_Toc211511446" </w:instrText>
          </w:r>
          <w:r>
            <w:fldChar w:fldCharType="separate"/>
          </w:r>
          <w:r>
            <w:rPr>
              <w:rStyle w:val="29"/>
              <w:rFonts w:hint="eastAsia"/>
            </w:rPr>
            <w:t>五、确定成交结果</w:t>
          </w:r>
          <w:r>
            <w:tab/>
          </w:r>
          <w:r>
            <w:fldChar w:fldCharType="begin"/>
          </w:r>
          <w:r>
            <w:instrText xml:space="preserve"> PAGEREF _Toc211511446 \h </w:instrText>
          </w:r>
          <w:r>
            <w:fldChar w:fldCharType="separate"/>
          </w:r>
          <w:r>
            <w:t>20</w:t>
          </w:r>
          <w:r>
            <w:fldChar w:fldCharType="end"/>
          </w:r>
          <w:r>
            <w:fldChar w:fldCharType="end"/>
          </w:r>
        </w:p>
        <w:p w14:paraId="409888FB">
          <w:pPr>
            <w:pStyle w:val="12"/>
            <w:tabs>
              <w:tab w:val="right" w:leader="dot" w:pos="8296"/>
            </w:tabs>
            <w:rPr>
              <w:szCs w:val="22"/>
            </w:rPr>
          </w:pPr>
          <w:r>
            <w:fldChar w:fldCharType="begin"/>
          </w:r>
          <w:r>
            <w:instrText xml:space="preserve"> HYPERLINK \l "_Toc211511447" </w:instrText>
          </w:r>
          <w:r>
            <w:fldChar w:fldCharType="separate"/>
          </w:r>
          <w:r>
            <w:rPr>
              <w:rStyle w:val="29"/>
              <w:rFonts w:ascii="宋体" w:hAnsi="宋体" w:eastAsia="宋体" w:cs="宋体"/>
            </w:rPr>
            <w:t>26.</w:t>
          </w:r>
          <w:r>
            <w:rPr>
              <w:rStyle w:val="29"/>
              <w:rFonts w:hint="eastAsia" w:ascii="宋体" w:hAnsi="宋体" w:eastAsia="宋体" w:cs="宋体"/>
            </w:rPr>
            <w:t>确定成交供应商</w:t>
          </w:r>
          <w:r>
            <w:tab/>
          </w:r>
          <w:r>
            <w:fldChar w:fldCharType="begin"/>
          </w:r>
          <w:r>
            <w:instrText xml:space="preserve"> PAGEREF _Toc211511447 \h </w:instrText>
          </w:r>
          <w:r>
            <w:fldChar w:fldCharType="separate"/>
          </w:r>
          <w:r>
            <w:t>20</w:t>
          </w:r>
          <w:r>
            <w:fldChar w:fldCharType="end"/>
          </w:r>
          <w:r>
            <w:fldChar w:fldCharType="end"/>
          </w:r>
        </w:p>
        <w:p w14:paraId="36CBCF37">
          <w:pPr>
            <w:pStyle w:val="20"/>
            <w:tabs>
              <w:tab w:val="right" w:leader="dot" w:pos="8296"/>
            </w:tabs>
            <w:rPr>
              <w:szCs w:val="22"/>
            </w:rPr>
          </w:pPr>
          <w:r>
            <w:fldChar w:fldCharType="begin"/>
          </w:r>
          <w:r>
            <w:instrText xml:space="preserve"> HYPERLINK \l "_Toc211511448" </w:instrText>
          </w:r>
          <w:r>
            <w:fldChar w:fldCharType="separate"/>
          </w:r>
          <w:r>
            <w:rPr>
              <w:rStyle w:val="29"/>
              <w:rFonts w:hint="eastAsia"/>
            </w:rPr>
            <w:t>六、授予合同</w:t>
          </w:r>
          <w:r>
            <w:tab/>
          </w:r>
          <w:r>
            <w:fldChar w:fldCharType="begin"/>
          </w:r>
          <w:r>
            <w:instrText xml:space="preserve"> PAGEREF _Toc211511448 \h </w:instrText>
          </w:r>
          <w:r>
            <w:fldChar w:fldCharType="separate"/>
          </w:r>
          <w:r>
            <w:t>20</w:t>
          </w:r>
          <w:r>
            <w:fldChar w:fldCharType="end"/>
          </w:r>
          <w:r>
            <w:fldChar w:fldCharType="end"/>
          </w:r>
        </w:p>
        <w:p w14:paraId="43D93624">
          <w:pPr>
            <w:pStyle w:val="12"/>
            <w:tabs>
              <w:tab w:val="right" w:leader="dot" w:pos="8296"/>
            </w:tabs>
            <w:rPr>
              <w:szCs w:val="22"/>
            </w:rPr>
          </w:pPr>
          <w:r>
            <w:fldChar w:fldCharType="begin"/>
          </w:r>
          <w:r>
            <w:instrText xml:space="preserve"> HYPERLINK \l "_Toc211511449" </w:instrText>
          </w:r>
          <w:r>
            <w:fldChar w:fldCharType="separate"/>
          </w:r>
          <w:r>
            <w:rPr>
              <w:rStyle w:val="29"/>
              <w:rFonts w:ascii="宋体" w:hAnsi="宋体" w:eastAsia="宋体" w:cs="宋体"/>
            </w:rPr>
            <w:t>27.</w:t>
          </w:r>
          <w:r>
            <w:rPr>
              <w:rStyle w:val="29"/>
              <w:rFonts w:hint="eastAsia" w:ascii="宋体" w:hAnsi="宋体" w:eastAsia="宋体" w:cs="宋体"/>
            </w:rPr>
            <w:t>磋商组织方接受和拒绝任何或所有响应的权利</w:t>
          </w:r>
          <w:r>
            <w:tab/>
          </w:r>
          <w:r>
            <w:fldChar w:fldCharType="begin"/>
          </w:r>
          <w:r>
            <w:instrText xml:space="preserve"> PAGEREF _Toc211511449 \h </w:instrText>
          </w:r>
          <w:r>
            <w:fldChar w:fldCharType="separate"/>
          </w:r>
          <w:r>
            <w:t>20</w:t>
          </w:r>
          <w:r>
            <w:fldChar w:fldCharType="end"/>
          </w:r>
          <w:r>
            <w:fldChar w:fldCharType="end"/>
          </w:r>
        </w:p>
        <w:p w14:paraId="7EFECFA7">
          <w:pPr>
            <w:pStyle w:val="12"/>
            <w:tabs>
              <w:tab w:val="right" w:leader="dot" w:pos="8296"/>
            </w:tabs>
            <w:rPr>
              <w:szCs w:val="22"/>
            </w:rPr>
          </w:pPr>
          <w:r>
            <w:fldChar w:fldCharType="begin"/>
          </w:r>
          <w:r>
            <w:instrText xml:space="preserve"> HYPERLINK \l "_Toc211511450" </w:instrText>
          </w:r>
          <w:r>
            <w:fldChar w:fldCharType="separate"/>
          </w:r>
          <w:r>
            <w:rPr>
              <w:rStyle w:val="29"/>
              <w:rFonts w:ascii="宋体" w:hAnsi="宋体" w:eastAsia="宋体" w:cs="宋体"/>
            </w:rPr>
            <w:t>28.</w:t>
          </w:r>
          <w:r>
            <w:rPr>
              <w:rStyle w:val="29"/>
              <w:rFonts w:hint="eastAsia" w:ascii="宋体" w:hAnsi="宋体" w:eastAsia="宋体" w:cs="宋体"/>
            </w:rPr>
            <w:t>成交通知书</w:t>
          </w:r>
          <w:r>
            <w:tab/>
          </w:r>
          <w:r>
            <w:fldChar w:fldCharType="begin"/>
          </w:r>
          <w:r>
            <w:instrText xml:space="preserve"> PAGEREF _Toc211511450 \h </w:instrText>
          </w:r>
          <w:r>
            <w:fldChar w:fldCharType="separate"/>
          </w:r>
          <w:r>
            <w:t>21</w:t>
          </w:r>
          <w:r>
            <w:fldChar w:fldCharType="end"/>
          </w:r>
          <w:r>
            <w:fldChar w:fldCharType="end"/>
          </w:r>
        </w:p>
        <w:p w14:paraId="10712BF0">
          <w:pPr>
            <w:pStyle w:val="12"/>
            <w:tabs>
              <w:tab w:val="right" w:leader="dot" w:pos="8296"/>
            </w:tabs>
            <w:rPr>
              <w:szCs w:val="22"/>
            </w:rPr>
          </w:pPr>
          <w:r>
            <w:fldChar w:fldCharType="begin"/>
          </w:r>
          <w:r>
            <w:instrText xml:space="preserve"> HYPERLINK \l "_Toc211511451" </w:instrText>
          </w:r>
          <w:r>
            <w:fldChar w:fldCharType="separate"/>
          </w:r>
          <w:r>
            <w:rPr>
              <w:rStyle w:val="29"/>
              <w:rFonts w:ascii="宋体" w:hAnsi="宋体" w:eastAsia="宋体" w:cs="宋体"/>
            </w:rPr>
            <w:t>29.</w:t>
          </w:r>
          <w:r>
            <w:rPr>
              <w:rStyle w:val="29"/>
              <w:rFonts w:hint="eastAsia" w:ascii="宋体" w:hAnsi="宋体" w:eastAsia="宋体" w:cs="宋体"/>
            </w:rPr>
            <w:t>签订合同</w:t>
          </w:r>
          <w:r>
            <w:tab/>
          </w:r>
          <w:r>
            <w:fldChar w:fldCharType="begin"/>
          </w:r>
          <w:r>
            <w:instrText xml:space="preserve"> PAGEREF _Toc211511451 \h </w:instrText>
          </w:r>
          <w:r>
            <w:fldChar w:fldCharType="separate"/>
          </w:r>
          <w:r>
            <w:t>21</w:t>
          </w:r>
          <w:r>
            <w:fldChar w:fldCharType="end"/>
          </w:r>
          <w:r>
            <w:fldChar w:fldCharType="end"/>
          </w:r>
        </w:p>
        <w:p w14:paraId="60AF49D0">
          <w:pPr>
            <w:pStyle w:val="12"/>
            <w:tabs>
              <w:tab w:val="right" w:leader="dot" w:pos="8296"/>
            </w:tabs>
            <w:rPr>
              <w:szCs w:val="22"/>
            </w:rPr>
          </w:pPr>
          <w:r>
            <w:fldChar w:fldCharType="begin"/>
          </w:r>
          <w:r>
            <w:instrText xml:space="preserve"> HYPERLINK \l "_Toc211511452" </w:instrText>
          </w:r>
          <w:r>
            <w:fldChar w:fldCharType="separate"/>
          </w:r>
          <w:r>
            <w:rPr>
              <w:rStyle w:val="29"/>
              <w:rFonts w:ascii="宋体" w:hAnsi="宋体" w:eastAsia="宋体" w:cs="宋体"/>
            </w:rPr>
            <w:t>30.</w:t>
          </w:r>
          <w:r>
            <w:rPr>
              <w:rStyle w:val="29"/>
              <w:rFonts w:hint="eastAsia" w:ascii="宋体" w:hAnsi="宋体" w:eastAsia="宋体" w:cs="宋体"/>
            </w:rPr>
            <w:t>履约保证金</w:t>
          </w:r>
          <w:r>
            <w:tab/>
          </w:r>
          <w:r>
            <w:fldChar w:fldCharType="begin"/>
          </w:r>
          <w:r>
            <w:instrText xml:space="preserve"> PAGEREF _Toc211511452 \h </w:instrText>
          </w:r>
          <w:r>
            <w:fldChar w:fldCharType="separate"/>
          </w:r>
          <w:r>
            <w:t>21</w:t>
          </w:r>
          <w:r>
            <w:fldChar w:fldCharType="end"/>
          </w:r>
          <w:r>
            <w:fldChar w:fldCharType="end"/>
          </w:r>
        </w:p>
        <w:p w14:paraId="3FAF902C">
          <w:pPr>
            <w:pStyle w:val="20"/>
            <w:tabs>
              <w:tab w:val="right" w:leader="dot" w:pos="8296"/>
            </w:tabs>
            <w:rPr>
              <w:szCs w:val="22"/>
            </w:rPr>
          </w:pPr>
          <w:r>
            <w:fldChar w:fldCharType="begin"/>
          </w:r>
          <w:r>
            <w:instrText xml:space="preserve"> HYPERLINK \l "_Toc211511453" </w:instrText>
          </w:r>
          <w:r>
            <w:fldChar w:fldCharType="separate"/>
          </w:r>
          <w:r>
            <w:rPr>
              <w:rStyle w:val="29"/>
              <w:rFonts w:hint="eastAsia"/>
            </w:rPr>
            <w:t>七、询问、质疑、投诉</w:t>
          </w:r>
          <w:r>
            <w:tab/>
          </w:r>
          <w:r>
            <w:fldChar w:fldCharType="begin"/>
          </w:r>
          <w:r>
            <w:instrText xml:space="preserve"> PAGEREF _Toc211511453 \h </w:instrText>
          </w:r>
          <w:r>
            <w:fldChar w:fldCharType="separate"/>
          </w:r>
          <w:r>
            <w:t>22</w:t>
          </w:r>
          <w:r>
            <w:fldChar w:fldCharType="end"/>
          </w:r>
          <w:r>
            <w:fldChar w:fldCharType="end"/>
          </w:r>
        </w:p>
        <w:p w14:paraId="4D3AB922">
          <w:pPr>
            <w:pStyle w:val="12"/>
            <w:tabs>
              <w:tab w:val="right" w:leader="dot" w:pos="8296"/>
            </w:tabs>
            <w:rPr>
              <w:szCs w:val="22"/>
            </w:rPr>
          </w:pPr>
          <w:r>
            <w:fldChar w:fldCharType="begin"/>
          </w:r>
          <w:r>
            <w:instrText xml:space="preserve"> HYPERLINK \l "_Toc211511454" </w:instrText>
          </w:r>
          <w:r>
            <w:fldChar w:fldCharType="separate"/>
          </w:r>
          <w:r>
            <w:rPr>
              <w:rStyle w:val="29"/>
              <w:rFonts w:ascii="宋体" w:hAnsi="宋体" w:eastAsia="宋体" w:cs="宋体"/>
            </w:rPr>
            <w:t>31.</w:t>
          </w:r>
          <w:r>
            <w:rPr>
              <w:rStyle w:val="29"/>
              <w:rFonts w:hint="eastAsia" w:ascii="宋体" w:hAnsi="宋体" w:eastAsia="宋体" w:cs="宋体"/>
            </w:rPr>
            <w:t>询问</w:t>
          </w:r>
          <w:r>
            <w:tab/>
          </w:r>
          <w:r>
            <w:fldChar w:fldCharType="begin"/>
          </w:r>
          <w:r>
            <w:instrText xml:space="preserve"> PAGEREF _Toc211511454 \h </w:instrText>
          </w:r>
          <w:r>
            <w:fldChar w:fldCharType="separate"/>
          </w:r>
          <w:r>
            <w:t>22</w:t>
          </w:r>
          <w:r>
            <w:fldChar w:fldCharType="end"/>
          </w:r>
          <w:r>
            <w:fldChar w:fldCharType="end"/>
          </w:r>
        </w:p>
        <w:p w14:paraId="60DD1C53">
          <w:pPr>
            <w:pStyle w:val="12"/>
            <w:tabs>
              <w:tab w:val="right" w:leader="dot" w:pos="8296"/>
            </w:tabs>
            <w:rPr>
              <w:szCs w:val="22"/>
            </w:rPr>
          </w:pPr>
          <w:r>
            <w:fldChar w:fldCharType="begin"/>
          </w:r>
          <w:r>
            <w:instrText xml:space="preserve"> HYPERLINK \l "_Toc211511455" </w:instrText>
          </w:r>
          <w:r>
            <w:fldChar w:fldCharType="separate"/>
          </w:r>
          <w:r>
            <w:rPr>
              <w:rStyle w:val="29"/>
              <w:rFonts w:ascii="宋体" w:hAnsi="宋体" w:eastAsia="宋体" w:cs="宋体"/>
            </w:rPr>
            <w:t>32.</w:t>
          </w:r>
          <w:r>
            <w:rPr>
              <w:rStyle w:val="29"/>
              <w:rFonts w:hint="eastAsia" w:ascii="宋体" w:hAnsi="宋体" w:eastAsia="宋体" w:cs="宋体"/>
            </w:rPr>
            <w:t>质疑</w:t>
          </w:r>
          <w:r>
            <w:tab/>
          </w:r>
          <w:r>
            <w:fldChar w:fldCharType="begin"/>
          </w:r>
          <w:r>
            <w:instrText xml:space="preserve"> PAGEREF _Toc211511455 \h </w:instrText>
          </w:r>
          <w:r>
            <w:fldChar w:fldCharType="separate"/>
          </w:r>
          <w:r>
            <w:t>22</w:t>
          </w:r>
          <w:r>
            <w:fldChar w:fldCharType="end"/>
          </w:r>
          <w:r>
            <w:fldChar w:fldCharType="end"/>
          </w:r>
        </w:p>
        <w:p w14:paraId="1D94873A">
          <w:pPr>
            <w:pStyle w:val="12"/>
            <w:tabs>
              <w:tab w:val="right" w:leader="dot" w:pos="8296"/>
            </w:tabs>
            <w:rPr>
              <w:szCs w:val="22"/>
            </w:rPr>
          </w:pPr>
          <w:r>
            <w:fldChar w:fldCharType="begin"/>
          </w:r>
          <w:r>
            <w:instrText xml:space="preserve"> HYPERLINK \l "_Toc211511456" </w:instrText>
          </w:r>
          <w:r>
            <w:fldChar w:fldCharType="separate"/>
          </w:r>
          <w:r>
            <w:rPr>
              <w:rStyle w:val="29"/>
              <w:rFonts w:ascii="宋体" w:hAnsi="宋体" w:eastAsia="宋体" w:cs="宋体"/>
            </w:rPr>
            <w:t>33.</w:t>
          </w:r>
          <w:r>
            <w:rPr>
              <w:rStyle w:val="29"/>
              <w:rFonts w:hint="eastAsia" w:ascii="宋体" w:hAnsi="宋体" w:eastAsia="宋体" w:cs="宋体"/>
            </w:rPr>
            <w:t>投诉</w:t>
          </w:r>
          <w:r>
            <w:tab/>
          </w:r>
          <w:r>
            <w:fldChar w:fldCharType="begin"/>
          </w:r>
          <w:r>
            <w:instrText xml:space="preserve"> PAGEREF _Toc211511456 \h </w:instrText>
          </w:r>
          <w:r>
            <w:fldChar w:fldCharType="separate"/>
          </w:r>
          <w:r>
            <w:t>23</w:t>
          </w:r>
          <w:r>
            <w:fldChar w:fldCharType="end"/>
          </w:r>
          <w:r>
            <w:fldChar w:fldCharType="end"/>
          </w:r>
        </w:p>
        <w:p w14:paraId="66148533">
          <w:pPr>
            <w:pStyle w:val="20"/>
            <w:tabs>
              <w:tab w:val="right" w:leader="dot" w:pos="8296"/>
            </w:tabs>
            <w:rPr>
              <w:szCs w:val="22"/>
            </w:rPr>
          </w:pPr>
          <w:r>
            <w:fldChar w:fldCharType="begin"/>
          </w:r>
          <w:r>
            <w:instrText xml:space="preserve"> HYPERLINK \l "_Toc211511457" </w:instrText>
          </w:r>
          <w:r>
            <w:fldChar w:fldCharType="separate"/>
          </w:r>
          <w:r>
            <w:rPr>
              <w:rStyle w:val="29"/>
              <w:rFonts w:hint="eastAsia"/>
            </w:rPr>
            <w:t>八、诚实信用和解释权</w:t>
          </w:r>
          <w:r>
            <w:tab/>
          </w:r>
          <w:r>
            <w:fldChar w:fldCharType="begin"/>
          </w:r>
          <w:r>
            <w:instrText xml:space="preserve"> PAGEREF _Toc211511457 \h </w:instrText>
          </w:r>
          <w:r>
            <w:fldChar w:fldCharType="separate"/>
          </w:r>
          <w:r>
            <w:t>23</w:t>
          </w:r>
          <w:r>
            <w:fldChar w:fldCharType="end"/>
          </w:r>
          <w:r>
            <w:fldChar w:fldCharType="end"/>
          </w:r>
        </w:p>
        <w:p w14:paraId="3C46DA28">
          <w:pPr>
            <w:pStyle w:val="12"/>
            <w:tabs>
              <w:tab w:val="right" w:leader="dot" w:pos="8296"/>
            </w:tabs>
            <w:rPr>
              <w:szCs w:val="22"/>
            </w:rPr>
          </w:pPr>
          <w:r>
            <w:fldChar w:fldCharType="begin"/>
          </w:r>
          <w:r>
            <w:instrText xml:space="preserve"> HYPERLINK \l "_Toc211511458" </w:instrText>
          </w:r>
          <w:r>
            <w:fldChar w:fldCharType="separate"/>
          </w:r>
          <w:r>
            <w:rPr>
              <w:rStyle w:val="29"/>
              <w:rFonts w:ascii="宋体" w:hAnsi="宋体" w:eastAsia="宋体" w:cs="宋体"/>
            </w:rPr>
            <w:t>34.</w:t>
          </w:r>
          <w:r>
            <w:rPr>
              <w:rStyle w:val="29"/>
              <w:rFonts w:hint="eastAsia" w:ascii="宋体" w:hAnsi="宋体" w:eastAsia="宋体" w:cs="宋体"/>
            </w:rPr>
            <w:t>诚实信用</w:t>
          </w:r>
          <w:r>
            <w:tab/>
          </w:r>
          <w:r>
            <w:fldChar w:fldCharType="begin"/>
          </w:r>
          <w:r>
            <w:instrText xml:space="preserve"> PAGEREF _Toc211511458 \h </w:instrText>
          </w:r>
          <w:r>
            <w:fldChar w:fldCharType="separate"/>
          </w:r>
          <w:r>
            <w:t>23</w:t>
          </w:r>
          <w:r>
            <w:fldChar w:fldCharType="end"/>
          </w:r>
          <w:r>
            <w:fldChar w:fldCharType="end"/>
          </w:r>
        </w:p>
        <w:p w14:paraId="052C0834">
          <w:pPr>
            <w:pStyle w:val="12"/>
            <w:tabs>
              <w:tab w:val="right" w:leader="dot" w:pos="8296"/>
            </w:tabs>
            <w:rPr>
              <w:szCs w:val="22"/>
            </w:rPr>
          </w:pPr>
          <w:r>
            <w:fldChar w:fldCharType="begin"/>
          </w:r>
          <w:r>
            <w:instrText xml:space="preserve"> HYPERLINK \l "_Toc211511459" </w:instrText>
          </w:r>
          <w:r>
            <w:fldChar w:fldCharType="separate"/>
          </w:r>
          <w:r>
            <w:rPr>
              <w:rStyle w:val="29"/>
              <w:rFonts w:ascii="宋体" w:hAnsi="宋体" w:eastAsia="宋体" w:cs="宋体"/>
            </w:rPr>
            <w:t>35.</w:t>
          </w:r>
          <w:r>
            <w:rPr>
              <w:rStyle w:val="29"/>
              <w:rFonts w:hint="eastAsia" w:ascii="宋体" w:hAnsi="宋体" w:eastAsia="宋体" w:cs="宋体"/>
            </w:rPr>
            <w:t>解释权</w:t>
          </w:r>
          <w:r>
            <w:tab/>
          </w:r>
          <w:r>
            <w:fldChar w:fldCharType="begin"/>
          </w:r>
          <w:r>
            <w:instrText xml:space="preserve"> PAGEREF _Toc211511459 \h </w:instrText>
          </w:r>
          <w:r>
            <w:fldChar w:fldCharType="separate"/>
          </w:r>
          <w:r>
            <w:t>24</w:t>
          </w:r>
          <w:r>
            <w:fldChar w:fldCharType="end"/>
          </w:r>
          <w:r>
            <w:fldChar w:fldCharType="end"/>
          </w:r>
        </w:p>
        <w:p w14:paraId="054353F0">
          <w:pPr>
            <w:pStyle w:val="12"/>
            <w:tabs>
              <w:tab w:val="right" w:leader="dot" w:pos="8296"/>
            </w:tabs>
            <w:rPr>
              <w:szCs w:val="22"/>
            </w:rPr>
          </w:pPr>
          <w:r>
            <w:fldChar w:fldCharType="begin"/>
          </w:r>
          <w:r>
            <w:instrText xml:space="preserve"> HYPERLINK \l "_Toc211511460" </w:instrText>
          </w:r>
          <w:r>
            <w:fldChar w:fldCharType="separate"/>
          </w:r>
          <w:r>
            <w:rPr>
              <w:rStyle w:val="29"/>
              <w:rFonts w:ascii="宋体" w:hAnsi="宋体" w:eastAsia="宋体" w:cs="宋体"/>
            </w:rPr>
            <w:t>36.</w:t>
          </w:r>
          <w:r>
            <w:rPr>
              <w:rStyle w:val="29"/>
              <w:rFonts w:hint="eastAsia" w:ascii="宋体" w:hAnsi="宋体" w:eastAsia="宋体" w:cs="宋体"/>
            </w:rPr>
            <w:t>适用法律及约束力</w:t>
          </w:r>
          <w:r>
            <w:tab/>
          </w:r>
          <w:r>
            <w:fldChar w:fldCharType="begin"/>
          </w:r>
          <w:r>
            <w:instrText xml:space="preserve"> PAGEREF _Toc211511460 \h </w:instrText>
          </w:r>
          <w:r>
            <w:fldChar w:fldCharType="separate"/>
          </w:r>
          <w:r>
            <w:t>24</w:t>
          </w:r>
          <w:r>
            <w:fldChar w:fldCharType="end"/>
          </w:r>
          <w:r>
            <w:fldChar w:fldCharType="end"/>
          </w:r>
        </w:p>
        <w:p w14:paraId="02F7D5A3">
          <w:pPr>
            <w:pStyle w:val="17"/>
            <w:tabs>
              <w:tab w:val="right" w:leader="dot" w:pos="8296"/>
            </w:tabs>
            <w:rPr>
              <w:szCs w:val="22"/>
            </w:rPr>
          </w:pPr>
          <w:r>
            <w:fldChar w:fldCharType="begin"/>
          </w:r>
          <w:r>
            <w:instrText xml:space="preserve"> HYPERLINK \l "_Toc211511461" </w:instrText>
          </w:r>
          <w:r>
            <w:fldChar w:fldCharType="separate"/>
          </w:r>
          <w:r>
            <w:rPr>
              <w:rStyle w:val="29"/>
              <w:rFonts w:hint="eastAsia" w:cs="宋体" w:asciiTheme="minorEastAsia" w:hAnsiTheme="minorEastAsia"/>
              <w:b/>
            </w:rPr>
            <w:t>委托人（甲方）：镇江市丹徒区住房和城乡建设局</w:t>
          </w:r>
          <w:r>
            <w:tab/>
          </w:r>
          <w:r>
            <w:fldChar w:fldCharType="begin"/>
          </w:r>
          <w:r>
            <w:instrText xml:space="preserve"> PAGEREF _Toc211511461 \h </w:instrText>
          </w:r>
          <w:r>
            <w:fldChar w:fldCharType="separate"/>
          </w:r>
          <w:r>
            <w:t>1</w:t>
          </w:r>
          <w:r>
            <w:fldChar w:fldCharType="end"/>
          </w:r>
          <w:r>
            <w:fldChar w:fldCharType="end"/>
          </w:r>
        </w:p>
        <w:p w14:paraId="78CB9192">
          <w:pPr>
            <w:pStyle w:val="17"/>
            <w:tabs>
              <w:tab w:val="right" w:leader="dot" w:pos="8296"/>
            </w:tabs>
            <w:rPr>
              <w:szCs w:val="22"/>
            </w:rPr>
          </w:pPr>
          <w:r>
            <w:fldChar w:fldCharType="begin"/>
          </w:r>
          <w:r>
            <w:instrText xml:space="preserve"> HYPERLINK \l "_Toc211511462" </w:instrText>
          </w:r>
          <w:r>
            <w:fldChar w:fldCharType="separate"/>
          </w:r>
          <w:r>
            <w:rPr>
              <w:rStyle w:val="29"/>
              <w:rFonts w:hint="eastAsia" w:cs="宋体" w:asciiTheme="minorEastAsia" w:hAnsiTheme="minorEastAsia"/>
              <w:b/>
            </w:rPr>
            <w:t>监理人（乙方）：</w:t>
          </w:r>
          <w:r>
            <w:tab/>
          </w:r>
          <w:r>
            <w:fldChar w:fldCharType="begin"/>
          </w:r>
          <w:r>
            <w:instrText xml:space="preserve"> PAGEREF _Toc211511462 \h </w:instrText>
          </w:r>
          <w:r>
            <w:fldChar w:fldCharType="separate"/>
          </w:r>
          <w:r>
            <w:t>1</w:t>
          </w:r>
          <w:r>
            <w:fldChar w:fldCharType="end"/>
          </w:r>
          <w:r>
            <w:fldChar w:fldCharType="end"/>
          </w:r>
        </w:p>
        <w:p w14:paraId="349C998F">
          <w:pPr>
            <w:pStyle w:val="17"/>
            <w:tabs>
              <w:tab w:val="right" w:leader="dot" w:pos="8296"/>
            </w:tabs>
            <w:rPr>
              <w:szCs w:val="22"/>
            </w:rPr>
          </w:pPr>
          <w:r>
            <w:fldChar w:fldCharType="begin"/>
          </w:r>
          <w:r>
            <w:instrText xml:space="preserve"> HYPERLINK \l "_Toc211511463" </w:instrText>
          </w:r>
          <w:r>
            <w:fldChar w:fldCharType="separate"/>
          </w:r>
          <w:r>
            <w:rPr>
              <w:rStyle w:val="29"/>
              <w:rFonts w:hint="eastAsia" w:cs="宋体" w:asciiTheme="minorEastAsia" w:hAnsiTheme="minorEastAsia"/>
              <w:b/>
            </w:rPr>
            <w:t>一、工程概况</w:t>
          </w:r>
          <w:r>
            <w:tab/>
          </w:r>
          <w:r>
            <w:fldChar w:fldCharType="begin"/>
          </w:r>
          <w:r>
            <w:instrText xml:space="preserve"> PAGEREF _Toc211511463 \h </w:instrText>
          </w:r>
          <w:r>
            <w:fldChar w:fldCharType="separate"/>
          </w:r>
          <w:r>
            <w:t>1</w:t>
          </w:r>
          <w:r>
            <w:fldChar w:fldCharType="end"/>
          </w:r>
          <w:r>
            <w:fldChar w:fldCharType="end"/>
          </w:r>
        </w:p>
        <w:p w14:paraId="76BBD5BE">
          <w:pPr>
            <w:pStyle w:val="17"/>
            <w:tabs>
              <w:tab w:val="right" w:leader="dot" w:pos="8296"/>
            </w:tabs>
            <w:rPr>
              <w:szCs w:val="22"/>
            </w:rPr>
          </w:pPr>
          <w:r>
            <w:fldChar w:fldCharType="begin"/>
          </w:r>
          <w:r>
            <w:instrText xml:space="preserve"> HYPERLINK \l "_Toc211511464" </w:instrText>
          </w:r>
          <w:r>
            <w:fldChar w:fldCharType="separate"/>
          </w:r>
          <w:r>
            <w:rPr>
              <w:rStyle w:val="29"/>
              <w:rFonts w:hint="eastAsia" w:cs="宋体" w:asciiTheme="minorEastAsia" w:hAnsiTheme="minorEastAsia"/>
              <w:b/>
            </w:rPr>
            <w:t>二、词语限定</w:t>
          </w:r>
          <w:r>
            <w:tab/>
          </w:r>
          <w:r>
            <w:fldChar w:fldCharType="begin"/>
          </w:r>
          <w:r>
            <w:instrText xml:space="preserve"> PAGEREF _Toc211511464 \h </w:instrText>
          </w:r>
          <w:r>
            <w:fldChar w:fldCharType="separate"/>
          </w:r>
          <w:r>
            <w:t>1</w:t>
          </w:r>
          <w:r>
            <w:fldChar w:fldCharType="end"/>
          </w:r>
          <w:r>
            <w:fldChar w:fldCharType="end"/>
          </w:r>
        </w:p>
        <w:p w14:paraId="1F03CF37">
          <w:pPr>
            <w:pStyle w:val="17"/>
            <w:tabs>
              <w:tab w:val="right" w:leader="dot" w:pos="8296"/>
            </w:tabs>
            <w:rPr>
              <w:szCs w:val="22"/>
            </w:rPr>
          </w:pPr>
          <w:r>
            <w:fldChar w:fldCharType="begin"/>
          </w:r>
          <w:r>
            <w:instrText xml:space="preserve"> HYPERLINK \l "_Toc211511465" </w:instrText>
          </w:r>
          <w:r>
            <w:fldChar w:fldCharType="separate"/>
          </w:r>
          <w:r>
            <w:rPr>
              <w:rStyle w:val="29"/>
              <w:rFonts w:hint="eastAsia" w:cs="宋体" w:asciiTheme="minorEastAsia" w:hAnsiTheme="minorEastAsia"/>
              <w:b/>
            </w:rPr>
            <w:t>三、组成本合同的文件</w:t>
          </w:r>
          <w:r>
            <w:tab/>
          </w:r>
          <w:r>
            <w:fldChar w:fldCharType="begin"/>
          </w:r>
          <w:r>
            <w:instrText xml:space="preserve"> PAGEREF _Toc211511465 \h </w:instrText>
          </w:r>
          <w:r>
            <w:fldChar w:fldCharType="separate"/>
          </w:r>
          <w:r>
            <w:t>1</w:t>
          </w:r>
          <w:r>
            <w:fldChar w:fldCharType="end"/>
          </w:r>
          <w:r>
            <w:fldChar w:fldCharType="end"/>
          </w:r>
        </w:p>
        <w:p w14:paraId="703127C0">
          <w:pPr>
            <w:pStyle w:val="17"/>
            <w:tabs>
              <w:tab w:val="right" w:leader="dot" w:pos="8296"/>
            </w:tabs>
            <w:rPr>
              <w:szCs w:val="22"/>
            </w:rPr>
          </w:pPr>
          <w:r>
            <w:fldChar w:fldCharType="begin"/>
          </w:r>
          <w:r>
            <w:instrText xml:space="preserve"> HYPERLINK \l "_Toc211511466" </w:instrText>
          </w:r>
          <w:r>
            <w:fldChar w:fldCharType="separate"/>
          </w:r>
          <w:r>
            <w:rPr>
              <w:rStyle w:val="29"/>
              <w:rFonts w:hint="eastAsia" w:cs="宋体" w:asciiTheme="minorEastAsia" w:hAnsiTheme="minorEastAsia"/>
              <w:b/>
            </w:rPr>
            <w:t>四、 总监理工程师</w:t>
          </w:r>
          <w:r>
            <w:tab/>
          </w:r>
          <w:r>
            <w:fldChar w:fldCharType="begin"/>
          </w:r>
          <w:r>
            <w:instrText xml:space="preserve"> PAGEREF _Toc211511466 \h </w:instrText>
          </w:r>
          <w:r>
            <w:fldChar w:fldCharType="separate"/>
          </w:r>
          <w:r>
            <w:t>2</w:t>
          </w:r>
          <w:r>
            <w:fldChar w:fldCharType="end"/>
          </w:r>
          <w:r>
            <w:fldChar w:fldCharType="end"/>
          </w:r>
        </w:p>
        <w:p w14:paraId="28CEE87D">
          <w:pPr>
            <w:pStyle w:val="17"/>
            <w:tabs>
              <w:tab w:val="right" w:leader="dot" w:pos="8296"/>
            </w:tabs>
            <w:rPr>
              <w:szCs w:val="22"/>
            </w:rPr>
          </w:pPr>
          <w:r>
            <w:fldChar w:fldCharType="begin"/>
          </w:r>
          <w:r>
            <w:instrText xml:space="preserve"> HYPERLINK \l "_Toc211511467" </w:instrText>
          </w:r>
          <w:r>
            <w:fldChar w:fldCharType="separate"/>
          </w:r>
          <w:r>
            <w:rPr>
              <w:rStyle w:val="29"/>
              <w:rFonts w:hint="eastAsia" w:cs="宋体" w:asciiTheme="minorEastAsia" w:hAnsiTheme="minorEastAsia"/>
              <w:b/>
            </w:rPr>
            <w:t>六、监理期限</w:t>
          </w:r>
          <w:r>
            <w:tab/>
          </w:r>
          <w:r>
            <w:fldChar w:fldCharType="begin"/>
          </w:r>
          <w:r>
            <w:instrText xml:space="preserve"> PAGEREF _Toc211511467 \h </w:instrText>
          </w:r>
          <w:r>
            <w:fldChar w:fldCharType="separate"/>
          </w:r>
          <w:r>
            <w:t>2</w:t>
          </w:r>
          <w:r>
            <w:fldChar w:fldCharType="end"/>
          </w:r>
          <w:r>
            <w:fldChar w:fldCharType="end"/>
          </w:r>
        </w:p>
        <w:p w14:paraId="24B9C114">
          <w:pPr>
            <w:pStyle w:val="17"/>
            <w:tabs>
              <w:tab w:val="right" w:leader="dot" w:pos="8296"/>
            </w:tabs>
            <w:rPr>
              <w:szCs w:val="22"/>
            </w:rPr>
          </w:pPr>
          <w:r>
            <w:fldChar w:fldCharType="begin"/>
          </w:r>
          <w:r>
            <w:instrText xml:space="preserve"> HYPERLINK \l "_Toc211511468" </w:instrText>
          </w:r>
          <w:r>
            <w:fldChar w:fldCharType="separate"/>
          </w:r>
          <w:r>
            <w:rPr>
              <w:rStyle w:val="29"/>
              <w:rFonts w:hint="eastAsia" w:cs="宋体" w:asciiTheme="minorEastAsia" w:hAnsiTheme="minorEastAsia"/>
              <w:b/>
            </w:rPr>
            <w:t>七、双方承诺</w:t>
          </w:r>
          <w:r>
            <w:tab/>
          </w:r>
          <w:r>
            <w:fldChar w:fldCharType="begin"/>
          </w:r>
          <w:r>
            <w:instrText xml:space="preserve"> PAGEREF _Toc211511468 \h </w:instrText>
          </w:r>
          <w:r>
            <w:fldChar w:fldCharType="separate"/>
          </w:r>
          <w:r>
            <w:t>2</w:t>
          </w:r>
          <w:r>
            <w:fldChar w:fldCharType="end"/>
          </w:r>
          <w:r>
            <w:fldChar w:fldCharType="end"/>
          </w:r>
        </w:p>
        <w:p w14:paraId="0530E28D">
          <w:pPr>
            <w:pStyle w:val="17"/>
            <w:tabs>
              <w:tab w:val="right" w:leader="dot" w:pos="8296"/>
            </w:tabs>
            <w:rPr>
              <w:szCs w:val="22"/>
            </w:rPr>
          </w:pPr>
          <w:r>
            <w:fldChar w:fldCharType="begin"/>
          </w:r>
          <w:r>
            <w:instrText xml:space="preserve"> HYPERLINK \l "_Toc211511469" </w:instrText>
          </w:r>
          <w:r>
            <w:fldChar w:fldCharType="separate"/>
          </w:r>
          <w:r>
            <w:rPr>
              <w:rStyle w:val="29"/>
              <w:rFonts w:hint="eastAsia" w:cs="宋体" w:asciiTheme="minorEastAsia" w:hAnsiTheme="minorEastAsia"/>
              <w:b/>
            </w:rPr>
            <w:t>八、合同订立</w:t>
          </w:r>
          <w:r>
            <w:tab/>
          </w:r>
          <w:r>
            <w:fldChar w:fldCharType="begin"/>
          </w:r>
          <w:r>
            <w:instrText xml:space="preserve"> PAGEREF _Toc211511469 \h </w:instrText>
          </w:r>
          <w:r>
            <w:fldChar w:fldCharType="separate"/>
          </w:r>
          <w:r>
            <w:t>2</w:t>
          </w:r>
          <w:r>
            <w:fldChar w:fldCharType="end"/>
          </w:r>
          <w:r>
            <w:fldChar w:fldCharType="end"/>
          </w:r>
        </w:p>
        <w:p w14:paraId="3F6FFD3C">
          <w:pPr>
            <w:pStyle w:val="17"/>
            <w:tabs>
              <w:tab w:val="right" w:leader="dot" w:pos="8296"/>
            </w:tabs>
            <w:rPr>
              <w:szCs w:val="22"/>
            </w:rPr>
          </w:pPr>
          <w:r>
            <w:fldChar w:fldCharType="begin"/>
          </w:r>
          <w:r>
            <w:instrText xml:space="preserve"> HYPERLINK \l "_Toc211511470" </w:instrText>
          </w:r>
          <w:r>
            <w:fldChar w:fldCharType="separate"/>
          </w:r>
          <w:r>
            <w:rPr>
              <w:rStyle w:val="29"/>
              <w:rFonts w:cs="宋体" w:asciiTheme="minorEastAsia" w:hAnsiTheme="minorEastAsia"/>
              <w:b/>
              <w:kern w:val="0"/>
            </w:rPr>
            <w:t xml:space="preserve">B-2  </w:t>
          </w:r>
          <w:r>
            <w:rPr>
              <w:rStyle w:val="29"/>
              <w:rFonts w:hint="eastAsia" w:cs="宋体" w:asciiTheme="minorEastAsia" w:hAnsiTheme="minorEastAsia"/>
              <w:b/>
              <w:kern w:val="0"/>
            </w:rPr>
            <w:t>委托人提供的房屋</w:t>
          </w:r>
          <w:r>
            <w:tab/>
          </w:r>
          <w:r>
            <w:fldChar w:fldCharType="begin"/>
          </w:r>
          <w:r>
            <w:instrText xml:space="preserve"> PAGEREF _Toc211511470 \h </w:instrText>
          </w:r>
          <w:r>
            <w:fldChar w:fldCharType="separate"/>
          </w:r>
          <w:r>
            <w:t>20</w:t>
          </w:r>
          <w:r>
            <w:fldChar w:fldCharType="end"/>
          </w:r>
          <w:r>
            <w:fldChar w:fldCharType="end"/>
          </w:r>
        </w:p>
        <w:p w14:paraId="4652C19C">
          <w:pPr>
            <w:pStyle w:val="17"/>
            <w:tabs>
              <w:tab w:val="right" w:leader="dot" w:pos="8296"/>
            </w:tabs>
            <w:rPr>
              <w:szCs w:val="22"/>
            </w:rPr>
          </w:pPr>
          <w:r>
            <w:fldChar w:fldCharType="begin"/>
          </w:r>
          <w:r>
            <w:instrText xml:space="preserve"> HYPERLINK \l "_Toc211511471" </w:instrText>
          </w:r>
          <w:r>
            <w:fldChar w:fldCharType="separate"/>
          </w:r>
          <w:r>
            <w:rPr>
              <w:rStyle w:val="29"/>
              <w:rFonts w:cs="宋体" w:asciiTheme="minorEastAsia" w:hAnsiTheme="minorEastAsia"/>
              <w:b/>
              <w:kern w:val="0"/>
            </w:rPr>
            <w:t xml:space="preserve">B-3  </w:t>
          </w:r>
          <w:r>
            <w:rPr>
              <w:rStyle w:val="29"/>
              <w:rFonts w:hint="eastAsia" w:cs="宋体" w:asciiTheme="minorEastAsia" w:hAnsiTheme="minorEastAsia"/>
              <w:b/>
              <w:kern w:val="0"/>
            </w:rPr>
            <w:t>委托人提供的资料</w:t>
          </w:r>
          <w:r>
            <w:tab/>
          </w:r>
          <w:r>
            <w:fldChar w:fldCharType="begin"/>
          </w:r>
          <w:r>
            <w:instrText xml:space="preserve"> PAGEREF _Toc211511471 \h </w:instrText>
          </w:r>
          <w:r>
            <w:fldChar w:fldCharType="separate"/>
          </w:r>
          <w:r>
            <w:t>20</w:t>
          </w:r>
          <w:r>
            <w:fldChar w:fldCharType="end"/>
          </w:r>
          <w:r>
            <w:fldChar w:fldCharType="end"/>
          </w:r>
        </w:p>
        <w:p w14:paraId="6FDA5D34">
          <w:pPr>
            <w:pStyle w:val="17"/>
            <w:tabs>
              <w:tab w:val="right" w:leader="dot" w:pos="8296"/>
            </w:tabs>
            <w:rPr>
              <w:szCs w:val="22"/>
            </w:rPr>
          </w:pPr>
          <w:r>
            <w:fldChar w:fldCharType="begin"/>
          </w:r>
          <w:r>
            <w:instrText xml:space="preserve"> HYPERLINK \l "_Toc211511472" </w:instrText>
          </w:r>
          <w:r>
            <w:fldChar w:fldCharType="separate"/>
          </w:r>
          <w:r>
            <w:rPr>
              <w:rStyle w:val="29"/>
              <w:rFonts w:hint="eastAsia"/>
            </w:rPr>
            <w:t>第四部分采购需求</w:t>
          </w:r>
          <w:r>
            <w:tab/>
          </w:r>
          <w:r>
            <w:fldChar w:fldCharType="begin"/>
          </w:r>
          <w:r>
            <w:instrText xml:space="preserve"> PAGEREF _Toc211511472 \h </w:instrText>
          </w:r>
          <w:r>
            <w:fldChar w:fldCharType="separate"/>
          </w:r>
          <w:r>
            <w:t>21</w:t>
          </w:r>
          <w:r>
            <w:fldChar w:fldCharType="end"/>
          </w:r>
          <w:r>
            <w:fldChar w:fldCharType="end"/>
          </w:r>
        </w:p>
        <w:p w14:paraId="2736846F">
          <w:pPr>
            <w:pStyle w:val="20"/>
            <w:tabs>
              <w:tab w:val="right" w:leader="dot" w:pos="8296"/>
            </w:tabs>
            <w:rPr>
              <w:szCs w:val="22"/>
            </w:rPr>
          </w:pPr>
          <w:r>
            <w:fldChar w:fldCharType="begin"/>
          </w:r>
          <w:r>
            <w:instrText xml:space="preserve"> HYPERLINK \l "_Toc211511473" </w:instrText>
          </w:r>
          <w:r>
            <w:fldChar w:fldCharType="separate"/>
          </w:r>
          <w:r>
            <w:rPr>
              <w:rStyle w:val="29"/>
              <w:rFonts w:hint="eastAsia" w:ascii="Times New Roman" w:hAnsi="Times New Roman" w:eastAsia="仿宋"/>
              <w:lang w:val="zh-CN"/>
            </w:rPr>
            <w:t>一、项目概况</w:t>
          </w:r>
          <w:r>
            <w:tab/>
          </w:r>
          <w:r>
            <w:fldChar w:fldCharType="begin"/>
          </w:r>
          <w:r>
            <w:instrText xml:space="preserve"> PAGEREF _Toc211511473 \h </w:instrText>
          </w:r>
          <w:r>
            <w:fldChar w:fldCharType="separate"/>
          </w:r>
          <w:r>
            <w:t>21</w:t>
          </w:r>
          <w:r>
            <w:fldChar w:fldCharType="end"/>
          </w:r>
          <w:r>
            <w:fldChar w:fldCharType="end"/>
          </w:r>
        </w:p>
        <w:p w14:paraId="71836991">
          <w:pPr>
            <w:pStyle w:val="20"/>
            <w:tabs>
              <w:tab w:val="right" w:leader="dot" w:pos="8296"/>
            </w:tabs>
            <w:rPr>
              <w:szCs w:val="22"/>
            </w:rPr>
          </w:pPr>
          <w:r>
            <w:fldChar w:fldCharType="begin"/>
          </w:r>
          <w:r>
            <w:instrText xml:space="preserve"> HYPERLINK \l "_Toc211511474" </w:instrText>
          </w:r>
          <w:r>
            <w:fldChar w:fldCharType="separate"/>
          </w:r>
          <w:r>
            <w:rPr>
              <w:rStyle w:val="29"/>
              <w:rFonts w:hint="eastAsia" w:ascii="Times New Roman" w:hAnsi="Times New Roman" w:eastAsia="仿宋"/>
              <w:lang w:val="zh-CN"/>
            </w:rPr>
            <w:t>二、</w:t>
          </w:r>
          <w:r>
            <w:rPr>
              <w:rStyle w:val="29"/>
              <w:rFonts w:hint="eastAsia" w:ascii="Times New Roman" w:hAnsi="Times New Roman" w:eastAsia="仿宋"/>
            </w:rPr>
            <w:t>监理项目清单</w:t>
          </w:r>
          <w:r>
            <w:tab/>
          </w:r>
          <w:r>
            <w:fldChar w:fldCharType="begin"/>
          </w:r>
          <w:r>
            <w:instrText xml:space="preserve"> PAGEREF _Toc211511474 \h </w:instrText>
          </w:r>
          <w:r>
            <w:fldChar w:fldCharType="separate"/>
          </w:r>
          <w:r>
            <w:t>21</w:t>
          </w:r>
          <w:r>
            <w:fldChar w:fldCharType="end"/>
          </w:r>
          <w:r>
            <w:fldChar w:fldCharType="end"/>
          </w:r>
        </w:p>
        <w:p w14:paraId="5975D84F">
          <w:pPr>
            <w:pStyle w:val="20"/>
            <w:tabs>
              <w:tab w:val="right" w:leader="dot" w:pos="8296"/>
            </w:tabs>
            <w:rPr>
              <w:szCs w:val="22"/>
            </w:rPr>
          </w:pPr>
          <w:r>
            <w:fldChar w:fldCharType="begin"/>
          </w:r>
          <w:r>
            <w:instrText xml:space="preserve"> HYPERLINK \l "_Toc211511475" </w:instrText>
          </w:r>
          <w:r>
            <w:fldChar w:fldCharType="separate"/>
          </w:r>
          <w:r>
            <w:rPr>
              <w:rStyle w:val="29"/>
              <w:rFonts w:hint="eastAsia" w:ascii="Times New Roman" w:hAnsi="Times New Roman" w:eastAsia="仿宋"/>
            </w:rPr>
            <w:t>三、监理工作主要内容</w:t>
          </w:r>
          <w:r>
            <w:tab/>
          </w:r>
          <w:r>
            <w:fldChar w:fldCharType="begin"/>
          </w:r>
          <w:r>
            <w:instrText xml:space="preserve"> PAGEREF _Toc211511475 \h </w:instrText>
          </w:r>
          <w:r>
            <w:fldChar w:fldCharType="separate"/>
          </w:r>
          <w:r>
            <w:t>21</w:t>
          </w:r>
          <w:r>
            <w:fldChar w:fldCharType="end"/>
          </w:r>
          <w:r>
            <w:fldChar w:fldCharType="end"/>
          </w:r>
        </w:p>
        <w:p w14:paraId="18F839A0">
          <w:pPr>
            <w:pStyle w:val="20"/>
            <w:tabs>
              <w:tab w:val="right" w:leader="dot" w:pos="8296"/>
            </w:tabs>
            <w:rPr>
              <w:szCs w:val="22"/>
            </w:rPr>
          </w:pPr>
          <w:r>
            <w:fldChar w:fldCharType="begin"/>
          </w:r>
          <w:r>
            <w:instrText xml:space="preserve"> HYPERLINK \l "_Toc211511476" </w:instrText>
          </w:r>
          <w:r>
            <w:fldChar w:fldCharType="separate"/>
          </w:r>
          <w:r>
            <w:rPr>
              <w:rStyle w:val="29"/>
              <w:rFonts w:hint="eastAsia" w:ascii="Times New Roman" w:hAnsi="Times New Roman" w:eastAsia="仿宋"/>
            </w:rPr>
            <w:t>四</w:t>
          </w:r>
          <w:r>
            <w:rPr>
              <w:rStyle w:val="29"/>
              <w:rFonts w:hint="eastAsia" w:ascii="Times New Roman" w:hAnsi="Times New Roman" w:eastAsia="仿宋"/>
              <w:lang w:val="zh-CN"/>
            </w:rPr>
            <w:t>、</w:t>
          </w:r>
          <w:r>
            <w:rPr>
              <w:rStyle w:val="29"/>
              <w:rFonts w:hint="eastAsia" w:ascii="Times New Roman" w:hAnsi="Times New Roman" w:eastAsia="仿宋"/>
            </w:rPr>
            <w:t>服务人员</w:t>
          </w:r>
          <w:r>
            <w:rPr>
              <w:rStyle w:val="29"/>
              <w:rFonts w:hint="eastAsia" w:ascii="Times New Roman" w:hAnsi="Times New Roman" w:eastAsia="仿宋"/>
              <w:lang w:val="zh-CN"/>
            </w:rPr>
            <w:t>要求</w:t>
          </w:r>
          <w:r>
            <w:tab/>
          </w:r>
          <w:r>
            <w:fldChar w:fldCharType="begin"/>
          </w:r>
          <w:r>
            <w:instrText xml:space="preserve"> PAGEREF _Toc211511476 \h </w:instrText>
          </w:r>
          <w:r>
            <w:fldChar w:fldCharType="separate"/>
          </w:r>
          <w:r>
            <w:t>21</w:t>
          </w:r>
          <w:r>
            <w:fldChar w:fldCharType="end"/>
          </w:r>
          <w:r>
            <w:fldChar w:fldCharType="end"/>
          </w:r>
        </w:p>
        <w:p w14:paraId="05C76A52">
          <w:pPr>
            <w:pStyle w:val="20"/>
            <w:tabs>
              <w:tab w:val="right" w:leader="dot" w:pos="8296"/>
            </w:tabs>
            <w:rPr>
              <w:szCs w:val="22"/>
            </w:rPr>
          </w:pPr>
          <w:r>
            <w:fldChar w:fldCharType="begin"/>
          </w:r>
          <w:r>
            <w:instrText xml:space="preserve"> HYPERLINK \l "_Toc211511477" </w:instrText>
          </w:r>
          <w:r>
            <w:fldChar w:fldCharType="separate"/>
          </w:r>
          <w:r>
            <w:rPr>
              <w:rStyle w:val="29"/>
              <w:rFonts w:hint="eastAsia" w:ascii="Times New Roman" w:hAnsi="Times New Roman" w:eastAsia="仿宋"/>
            </w:rPr>
            <w:t>五</w:t>
          </w:r>
          <w:r>
            <w:rPr>
              <w:rStyle w:val="29"/>
              <w:rFonts w:hint="eastAsia" w:ascii="Times New Roman" w:hAnsi="Times New Roman" w:eastAsia="仿宋"/>
              <w:lang w:val="zh-CN"/>
            </w:rPr>
            <w:t>、</w:t>
          </w:r>
          <w:r>
            <w:rPr>
              <w:rStyle w:val="29"/>
              <w:rFonts w:hint="eastAsia" w:ascii="Times New Roman" w:hAnsi="Times New Roman" w:eastAsia="仿宋"/>
            </w:rPr>
            <w:t>商务要求</w:t>
          </w:r>
          <w:r>
            <w:tab/>
          </w:r>
          <w:r>
            <w:fldChar w:fldCharType="begin"/>
          </w:r>
          <w:r>
            <w:instrText xml:space="preserve"> PAGEREF _Toc211511477 \h </w:instrText>
          </w:r>
          <w:r>
            <w:fldChar w:fldCharType="separate"/>
          </w:r>
          <w:r>
            <w:t>21</w:t>
          </w:r>
          <w:r>
            <w:fldChar w:fldCharType="end"/>
          </w:r>
          <w:r>
            <w:fldChar w:fldCharType="end"/>
          </w:r>
        </w:p>
        <w:p w14:paraId="4E46924C">
          <w:pPr>
            <w:pStyle w:val="20"/>
            <w:tabs>
              <w:tab w:val="right" w:leader="dot" w:pos="8296"/>
            </w:tabs>
            <w:rPr>
              <w:szCs w:val="22"/>
            </w:rPr>
          </w:pPr>
          <w:r>
            <w:fldChar w:fldCharType="begin"/>
          </w:r>
          <w:r>
            <w:instrText xml:space="preserve"> HYPERLINK \l "_Toc211511478" </w:instrText>
          </w:r>
          <w:r>
            <w:fldChar w:fldCharType="separate"/>
          </w:r>
          <w:r>
            <w:rPr>
              <w:rStyle w:val="29"/>
              <w:rFonts w:hint="eastAsia" w:ascii="Times New Roman" w:hAnsi="Times New Roman" w:eastAsia="仿宋"/>
            </w:rPr>
            <w:t>六、其他要求：</w:t>
          </w:r>
          <w:r>
            <w:tab/>
          </w:r>
          <w:r>
            <w:fldChar w:fldCharType="begin"/>
          </w:r>
          <w:r>
            <w:instrText xml:space="preserve"> PAGEREF _Toc211511478 \h </w:instrText>
          </w:r>
          <w:r>
            <w:fldChar w:fldCharType="separate"/>
          </w:r>
          <w:r>
            <w:t>21</w:t>
          </w:r>
          <w:r>
            <w:fldChar w:fldCharType="end"/>
          </w:r>
          <w:r>
            <w:fldChar w:fldCharType="end"/>
          </w:r>
        </w:p>
        <w:p w14:paraId="04674488">
          <w:pPr>
            <w:pStyle w:val="17"/>
            <w:tabs>
              <w:tab w:val="right" w:leader="dot" w:pos="8296"/>
            </w:tabs>
            <w:rPr>
              <w:szCs w:val="22"/>
            </w:rPr>
          </w:pPr>
          <w:r>
            <w:fldChar w:fldCharType="begin"/>
          </w:r>
          <w:r>
            <w:instrText xml:space="preserve"> HYPERLINK \l "_Toc211511479" </w:instrText>
          </w:r>
          <w:r>
            <w:fldChar w:fldCharType="separate"/>
          </w:r>
          <w:r>
            <w:rPr>
              <w:rStyle w:val="29"/>
              <w:rFonts w:hint="eastAsia"/>
            </w:rPr>
            <w:t>第五部分磋商及评审</w:t>
          </w:r>
          <w:r>
            <w:tab/>
          </w:r>
          <w:r>
            <w:fldChar w:fldCharType="begin"/>
          </w:r>
          <w:r>
            <w:instrText xml:space="preserve"> PAGEREF _Toc211511479 \h </w:instrText>
          </w:r>
          <w:r>
            <w:fldChar w:fldCharType="separate"/>
          </w:r>
          <w:r>
            <w:t>22</w:t>
          </w:r>
          <w:r>
            <w:fldChar w:fldCharType="end"/>
          </w:r>
          <w:r>
            <w:fldChar w:fldCharType="end"/>
          </w:r>
        </w:p>
        <w:p w14:paraId="08BCBD7F">
          <w:pPr>
            <w:pStyle w:val="20"/>
            <w:tabs>
              <w:tab w:val="right" w:leader="dot" w:pos="8296"/>
            </w:tabs>
            <w:rPr>
              <w:szCs w:val="22"/>
            </w:rPr>
          </w:pPr>
          <w:r>
            <w:fldChar w:fldCharType="begin"/>
          </w:r>
          <w:r>
            <w:instrText xml:space="preserve"> HYPERLINK \l "_Toc211511480" </w:instrText>
          </w:r>
          <w:r>
            <w:fldChar w:fldCharType="separate"/>
          </w:r>
          <w:r>
            <w:rPr>
              <w:rStyle w:val="29"/>
              <w:rFonts w:hint="eastAsia"/>
            </w:rPr>
            <w:t>一、磋商小组职责</w:t>
          </w:r>
          <w:r>
            <w:tab/>
          </w:r>
          <w:r>
            <w:fldChar w:fldCharType="begin"/>
          </w:r>
          <w:r>
            <w:instrText xml:space="preserve"> PAGEREF _Toc211511480 \h </w:instrText>
          </w:r>
          <w:r>
            <w:fldChar w:fldCharType="separate"/>
          </w:r>
          <w:r>
            <w:t>22</w:t>
          </w:r>
          <w:r>
            <w:fldChar w:fldCharType="end"/>
          </w:r>
          <w:r>
            <w:fldChar w:fldCharType="end"/>
          </w:r>
        </w:p>
        <w:p w14:paraId="4BBE6B6E">
          <w:pPr>
            <w:pStyle w:val="20"/>
            <w:tabs>
              <w:tab w:val="right" w:leader="dot" w:pos="8296"/>
            </w:tabs>
            <w:rPr>
              <w:szCs w:val="22"/>
            </w:rPr>
          </w:pPr>
          <w:r>
            <w:fldChar w:fldCharType="begin"/>
          </w:r>
          <w:r>
            <w:instrText xml:space="preserve"> HYPERLINK \l "_Toc211511481" </w:instrText>
          </w:r>
          <w:r>
            <w:fldChar w:fldCharType="separate"/>
          </w:r>
          <w:r>
            <w:rPr>
              <w:rStyle w:val="29"/>
              <w:rFonts w:hint="eastAsia"/>
            </w:rPr>
            <w:t>二、磋商及评审程序</w:t>
          </w:r>
          <w:r>
            <w:tab/>
          </w:r>
          <w:r>
            <w:fldChar w:fldCharType="begin"/>
          </w:r>
          <w:r>
            <w:instrText xml:space="preserve"> PAGEREF _Toc211511481 \h </w:instrText>
          </w:r>
          <w:r>
            <w:fldChar w:fldCharType="separate"/>
          </w:r>
          <w:r>
            <w:t>22</w:t>
          </w:r>
          <w:r>
            <w:fldChar w:fldCharType="end"/>
          </w:r>
          <w:r>
            <w:fldChar w:fldCharType="end"/>
          </w:r>
        </w:p>
        <w:p w14:paraId="632C40F0">
          <w:pPr>
            <w:pStyle w:val="20"/>
            <w:tabs>
              <w:tab w:val="right" w:leader="dot" w:pos="8296"/>
            </w:tabs>
            <w:rPr>
              <w:szCs w:val="22"/>
            </w:rPr>
          </w:pPr>
          <w:r>
            <w:fldChar w:fldCharType="begin"/>
          </w:r>
          <w:r>
            <w:instrText xml:space="preserve"> HYPERLINK \l "_Toc211511482" </w:instrText>
          </w:r>
          <w:r>
            <w:fldChar w:fldCharType="separate"/>
          </w:r>
          <w:r>
            <w:rPr>
              <w:rStyle w:val="29"/>
              <w:rFonts w:hint="eastAsia"/>
            </w:rPr>
            <w:t>三、供应商资格审查</w:t>
          </w:r>
          <w:r>
            <w:tab/>
          </w:r>
          <w:r>
            <w:fldChar w:fldCharType="begin"/>
          </w:r>
          <w:r>
            <w:instrText xml:space="preserve"> PAGEREF _Toc211511482 \h </w:instrText>
          </w:r>
          <w:r>
            <w:fldChar w:fldCharType="separate"/>
          </w:r>
          <w:r>
            <w:t>23</w:t>
          </w:r>
          <w:r>
            <w:fldChar w:fldCharType="end"/>
          </w:r>
          <w:r>
            <w:fldChar w:fldCharType="end"/>
          </w:r>
        </w:p>
        <w:p w14:paraId="33C41932">
          <w:pPr>
            <w:pStyle w:val="20"/>
            <w:tabs>
              <w:tab w:val="right" w:leader="dot" w:pos="8296"/>
            </w:tabs>
            <w:rPr>
              <w:szCs w:val="22"/>
            </w:rPr>
          </w:pPr>
          <w:r>
            <w:fldChar w:fldCharType="begin"/>
          </w:r>
          <w:r>
            <w:instrText xml:space="preserve"> HYPERLINK \l "_Toc211511483" </w:instrText>
          </w:r>
          <w:r>
            <w:fldChar w:fldCharType="separate"/>
          </w:r>
          <w:r>
            <w:rPr>
              <w:rStyle w:val="29"/>
              <w:rFonts w:hint="eastAsia"/>
            </w:rPr>
            <w:t>四、磋商响应文件的有效性、完整性和响应程度审查</w:t>
          </w:r>
          <w:r>
            <w:tab/>
          </w:r>
          <w:r>
            <w:fldChar w:fldCharType="begin"/>
          </w:r>
          <w:r>
            <w:instrText xml:space="preserve"> PAGEREF _Toc211511483 \h </w:instrText>
          </w:r>
          <w:r>
            <w:fldChar w:fldCharType="separate"/>
          </w:r>
          <w:r>
            <w:t>24</w:t>
          </w:r>
          <w:r>
            <w:fldChar w:fldCharType="end"/>
          </w:r>
          <w:r>
            <w:fldChar w:fldCharType="end"/>
          </w:r>
        </w:p>
        <w:p w14:paraId="05075D1F">
          <w:pPr>
            <w:pStyle w:val="20"/>
            <w:tabs>
              <w:tab w:val="right" w:leader="dot" w:pos="8296"/>
            </w:tabs>
            <w:rPr>
              <w:szCs w:val="22"/>
            </w:rPr>
          </w:pPr>
          <w:r>
            <w:fldChar w:fldCharType="begin"/>
          </w:r>
          <w:r>
            <w:instrText xml:space="preserve"> HYPERLINK \l "_Toc211511484" </w:instrText>
          </w:r>
          <w:r>
            <w:fldChar w:fldCharType="separate"/>
          </w:r>
          <w:r>
            <w:rPr>
              <w:rStyle w:val="29"/>
              <w:rFonts w:hint="eastAsia"/>
            </w:rPr>
            <w:t>五、磋商记录</w:t>
          </w:r>
          <w:r>
            <w:tab/>
          </w:r>
          <w:r>
            <w:fldChar w:fldCharType="begin"/>
          </w:r>
          <w:r>
            <w:instrText xml:space="preserve"> PAGEREF _Toc211511484 \h </w:instrText>
          </w:r>
          <w:r>
            <w:fldChar w:fldCharType="separate"/>
          </w:r>
          <w:r>
            <w:t>25</w:t>
          </w:r>
          <w:r>
            <w:fldChar w:fldCharType="end"/>
          </w:r>
          <w:r>
            <w:fldChar w:fldCharType="end"/>
          </w:r>
        </w:p>
        <w:p w14:paraId="068C2C75">
          <w:pPr>
            <w:pStyle w:val="20"/>
            <w:tabs>
              <w:tab w:val="right" w:leader="dot" w:pos="8296"/>
            </w:tabs>
            <w:rPr>
              <w:szCs w:val="22"/>
            </w:rPr>
          </w:pPr>
          <w:r>
            <w:fldChar w:fldCharType="begin"/>
          </w:r>
          <w:r>
            <w:instrText xml:space="preserve"> HYPERLINK \l "_Toc211511485" </w:instrText>
          </w:r>
          <w:r>
            <w:fldChar w:fldCharType="separate"/>
          </w:r>
          <w:r>
            <w:rPr>
              <w:rStyle w:val="29"/>
              <w:rFonts w:hint="eastAsia"/>
            </w:rPr>
            <w:t>六、综合评分</w:t>
          </w:r>
          <w:r>
            <w:tab/>
          </w:r>
          <w:r>
            <w:fldChar w:fldCharType="begin"/>
          </w:r>
          <w:r>
            <w:instrText xml:space="preserve"> PAGEREF _Toc211511485 \h </w:instrText>
          </w:r>
          <w:r>
            <w:fldChar w:fldCharType="separate"/>
          </w:r>
          <w:r>
            <w:t>25</w:t>
          </w:r>
          <w:r>
            <w:fldChar w:fldCharType="end"/>
          </w:r>
          <w:r>
            <w:fldChar w:fldCharType="end"/>
          </w:r>
        </w:p>
        <w:p w14:paraId="4A922ED7">
          <w:pPr>
            <w:pStyle w:val="17"/>
            <w:tabs>
              <w:tab w:val="right" w:leader="dot" w:pos="8296"/>
            </w:tabs>
            <w:rPr>
              <w:szCs w:val="22"/>
            </w:rPr>
          </w:pPr>
          <w:r>
            <w:fldChar w:fldCharType="begin"/>
          </w:r>
          <w:r>
            <w:instrText xml:space="preserve"> HYPERLINK \l "_Toc211511486" </w:instrText>
          </w:r>
          <w:r>
            <w:fldChar w:fldCharType="separate"/>
          </w:r>
          <w:r>
            <w:rPr>
              <w:rStyle w:val="29"/>
              <w:rFonts w:hint="eastAsia"/>
            </w:rPr>
            <w:t>第六部分磋商响应文件</w:t>
          </w:r>
          <w:r>
            <w:rPr>
              <w:rStyle w:val="29"/>
            </w:rPr>
            <w:t>(</w:t>
          </w:r>
          <w:r>
            <w:rPr>
              <w:rStyle w:val="29"/>
              <w:rFonts w:hint="eastAsia"/>
            </w:rPr>
            <w:t>格式</w:t>
          </w:r>
          <w:r>
            <w:rPr>
              <w:rStyle w:val="29"/>
            </w:rPr>
            <w:t>)</w:t>
          </w:r>
          <w:r>
            <w:tab/>
          </w:r>
          <w:r>
            <w:fldChar w:fldCharType="begin"/>
          </w:r>
          <w:r>
            <w:instrText xml:space="preserve"> PAGEREF _Toc211511486 \h </w:instrText>
          </w:r>
          <w:r>
            <w:fldChar w:fldCharType="separate"/>
          </w:r>
          <w:r>
            <w:t>30</w:t>
          </w:r>
          <w:r>
            <w:fldChar w:fldCharType="end"/>
          </w:r>
          <w:r>
            <w:fldChar w:fldCharType="end"/>
          </w:r>
        </w:p>
        <w:p w14:paraId="651BB9A2">
          <w:pPr>
            <w:pStyle w:val="20"/>
            <w:tabs>
              <w:tab w:val="right" w:leader="dot" w:pos="8296"/>
            </w:tabs>
            <w:rPr>
              <w:szCs w:val="22"/>
            </w:rPr>
          </w:pPr>
          <w:r>
            <w:fldChar w:fldCharType="begin"/>
          </w:r>
          <w:r>
            <w:instrText xml:space="preserve"> HYPERLINK \l "_Toc211511487" </w:instrText>
          </w:r>
          <w:r>
            <w:fldChar w:fldCharType="separate"/>
          </w:r>
          <w:r>
            <w:rPr>
              <w:rStyle w:val="29"/>
              <w:rFonts w:hint="eastAsia"/>
              <w:b/>
              <w:bCs/>
            </w:rPr>
            <w:t>磋商响应文件</w:t>
          </w:r>
          <w:r>
            <w:tab/>
          </w:r>
          <w:r>
            <w:fldChar w:fldCharType="begin"/>
          </w:r>
          <w:r>
            <w:instrText xml:space="preserve"> PAGEREF _Toc211511487 \h </w:instrText>
          </w:r>
          <w:r>
            <w:fldChar w:fldCharType="separate"/>
          </w:r>
          <w:r>
            <w:t>30</w:t>
          </w:r>
          <w:r>
            <w:fldChar w:fldCharType="end"/>
          </w:r>
          <w:r>
            <w:fldChar w:fldCharType="end"/>
          </w:r>
        </w:p>
        <w:p w14:paraId="73AD5949">
          <w:pPr>
            <w:pStyle w:val="20"/>
            <w:tabs>
              <w:tab w:val="right" w:leader="dot" w:pos="8296"/>
            </w:tabs>
            <w:rPr>
              <w:szCs w:val="22"/>
            </w:rPr>
          </w:pPr>
          <w:r>
            <w:fldChar w:fldCharType="begin"/>
          </w:r>
          <w:r>
            <w:instrText xml:space="preserve"> HYPERLINK \l "_Toc211511488" </w:instrText>
          </w:r>
          <w:r>
            <w:fldChar w:fldCharType="separate"/>
          </w:r>
          <w:r>
            <w:rPr>
              <w:rStyle w:val="29"/>
              <w:rFonts w:hint="eastAsia"/>
            </w:rPr>
            <w:t>一、资格部分</w:t>
          </w:r>
          <w:r>
            <w:tab/>
          </w:r>
          <w:r>
            <w:fldChar w:fldCharType="begin"/>
          </w:r>
          <w:r>
            <w:instrText xml:space="preserve"> PAGEREF _Toc211511488 \h </w:instrText>
          </w:r>
          <w:r>
            <w:fldChar w:fldCharType="separate"/>
          </w:r>
          <w:r>
            <w:t>31</w:t>
          </w:r>
          <w:r>
            <w:fldChar w:fldCharType="end"/>
          </w:r>
          <w:r>
            <w:fldChar w:fldCharType="end"/>
          </w:r>
        </w:p>
        <w:p w14:paraId="5C4732C3">
          <w:pPr>
            <w:pStyle w:val="12"/>
            <w:tabs>
              <w:tab w:val="right" w:leader="dot" w:pos="8296"/>
            </w:tabs>
            <w:rPr>
              <w:szCs w:val="22"/>
            </w:rPr>
          </w:pPr>
          <w:r>
            <w:fldChar w:fldCharType="begin"/>
          </w:r>
          <w:r>
            <w:instrText xml:space="preserve"> HYPERLINK \l "_Toc211511489" </w:instrText>
          </w:r>
          <w:r>
            <w:fldChar w:fldCharType="separate"/>
          </w:r>
          <w:r>
            <w:rPr>
              <w:rStyle w:val="29"/>
              <w:rFonts w:hint="eastAsia" w:ascii="Times New Roman" w:hAnsi="Times New Roman" w:eastAsia="宋体" w:cs="Times New Roman"/>
            </w:rPr>
            <w:t>（一）磋商承诺函</w:t>
          </w:r>
          <w:r>
            <w:tab/>
          </w:r>
          <w:r>
            <w:fldChar w:fldCharType="begin"/>
          </w:r>
          <w:r>
            <w:instrText xml:space="preserve"> PAGEREF _Toc211511489 \h </w:instrText>
          </w:r>
          <w:r>
            <w:fldChar w:fldCharType="separate"/>
          </w:r>
          <w:r>
            <w:t>32</w:t>
          </w:r>
          <w:r>
            <w:fldChar w:fldCharType="end"/>
          </w:r>
          <w:r>
            <w:fldChar w:fldCharType="end"/>
          </w:r>
        </w:p>
        <w:p w14:paraId="32735CC0">
          <w:pPr>
            <w:pStyle w:val="12"/>
            <w:tabs>
              <w:tab w:val="right" w:leader="dot" w:pos="8296"/>
            </w:tabs>
            <w:rPr>
              <w:szCs w:val="22"/>
            </w:rPr>
          </w:pPr>
          <w:r>
            <w:fldChar w:fldCharType="begin"/>
          </w:r>
          <w:r>
            <w:instrText xml:space="preserve"> HYPERLINK \l "_Toc211511490" </w:instrText>
          </w:r>
          <w:r>
            <w:fldChar w:fldCharType="separate"/>
          </w:r>
          <w:r>
            <w:rPr>
              <w:rStyle w:val="29"/>
              <w:rFonts w:hint="eastAsia" w:ascii="Times New Roman" w:hAnsi="Times New Roman" w:eastAsia="宋体" w:cs="Times New Roman"/>
            </w:rPr>
            <w:t>（二）独立承担民事责任的能力</w:t>
          </w:r>
          <w:r>
            <w:tab/>
          </w:r>
          <w:r>
            <w:fldChar w:fldCharType="begin"/>
          </w:r>
          <w:r>
            <w:instrText xml:space="preserve"> PAGEREF _Toc211511490 \h </w:instrText>
          </w:r>
          <w:r>
            <w:fldChar w:fldCharType="separate"/>
          </w:r>
          <w:r>
            <w:t>33</w:t>
          </w:r>
          <w:r>
            <w:fldChar w:fldCharType="end"/>
          </w:r>
          <w:r>
            <w:fldChar w:fldCharType="end"/>
          </w:r>
        </w:p>
        <w:p w14:paraId="0EB9F989">
          <w:pPr>
            <w:pStyle w:val="12"/>
            <w:tabs>
              <w:tab w:val="right" w:leader="dot" w:pos="8296"/>
            </w:tabs>
            <w:rPr>
              <w:szCs w:val="22"/>
            </w:rPr>
          </w:pPr>
          <w:r>
            <w:fldChar w:fldCharType="begin"/>
          </w:r>
          <w:r>
            <w:instrText xml:space="preserve"> HYPERLINK \l "_Toc211511491" </w:instrText>
          </w:r>
          <w:r>
            <w:fldChar w:fldCharType="separate"/>
          </w:r>
          <w:r>
            <w:rPr>
              <w:rStyle w:val="29"/>
              <w:rFonts w:hint="eastAsia" w:ascii="Times New Roman" w:hAnsi="Times New Roman" w:eastAsia="宋体" w:cs="Times New Roman"/>
            </w:rPr>
            <w:t>（三）良好的商业信誉和健全的财务会计制度</w:t>
          </w:r>
          <w:r>
            <w:tab/>
          </w:r>
          <w:r>
            <w:fldChar w:fldCharType="begin"/>
          </w:r>
          <w:r>
            <w:instrText xml:space="preserve"> PAGEREF _Toc211511491 \h </w:instrText>
          </w:r>
          <w:r>
            <w:fldChar w:fldCharType="separate"/>
          </w:r>
          <w:r>
            <w:t>34</w:t>
          </w:r>
          <w:r>
            <w:fldChar w:fldCharType="end"/>
          </w:r>
          <w:r>
            <w:fldChar w:fldCharType="end"/>
          </w:r>
        </w:p>
        <w:p w14:paraId="0FA6B0B3">
          <w:pPr>
            <w:pStyle w:val="12"/>
            <w:tabs>
              <w:tab w:val="right" w:leader="dot" w:pos="8296"/>
            </w:tabs>
            <w:rPr>
              <w:szCs w:val="22"/>
            </w:rPr>
          </w:pPr>
          <w:r>
            <w:fldChar w:fldCharType="begin"/>
          </w:r>
          <w:r>
            <w:instrText xml:space="preserve"> HYPERLINK \l "_Toc211511492" </w:instrText>
          </w:r>
          <w:r>
            <w:fldChar w:fldCharType="separate"/>
          </w:r>
          <w:r>
            <w:rPr>
              <w:rStyle w:val="29"/>
              <w:rFonts w:hint="eastAsia" w:ascii="Times New Roman" w:hAnsi="Times New Roman" w:eastAsia="宋体" w:cs="Times New Roman"/>
            </w:rPr>
            <w:t>（四）履行合同所必需的设备和专业技术能力</w:t>
          </w:r>
          <w:r>
            <w:tab/>
          </w:r>
          <w:r>
            <w:fldChar w:fldCharType="begin"/>
          </w:r>
          <w:r>
            <w:instrText xml:space="preserve"> PAGEREF _Toc211511492 \h </w:instrText>
          </w:r>
          <w:r>
            <w:fldChar w:fldCharType="separate"/>
          </w:r>
          <w:r>
            <w:t>35</w:t>
          </w:r>
          <w:r>
            <w:fldChar w:fldCharType="end"/>
          </w:r>
          <w:r>
            <w:fldChar w:fldCharType="end"/>
          </w:r>
        </w:p>
        <w:p w14:paraId="08D571C9">
          <w:pPr>
            <w:pStyle w:val="12"/>
            <w:tabs>
              <w:tab w:val="right" w:leader="dot" w:pos="8296"/>
            </w:tabs>
            <w:rPr>
              <w:szCs w:val="22"/>
            </w:rPr>
          </w:pPr>
          <w:r>
            <w:fldChar w:fldCharType="begin"/>
          </w:r>
          <w:r>
            <w:instrText xml:space="preserve"> HYPERLINK \l "_Toc211511493" </w:instrText>
          </w:r>
          <w:r>
            <w:fldChar w:fldCharType="separate"/>
          </w:r>
          <w:r>
            <w:rPr>
              <w:rStyle w:val="29"/>
              <w:rFonts w:hint="eastAsia" w:ascii="Times New Roman" w:hAnsi="Times New Roman" w:eastAsia="宋体" w:cs="Times New Roman"/>
            </w:rPr>
            <w:t>（五）依法缴纳税收和社会保障资金的良好记录</w:t>
          </w:r>
          <w:r>
            <w:tab/>
          </w:r>
          <w:r>
            <w:fldChar w:fldCharType="begin"/>
          </w:r>
          <w:r>
            <w:instrText xml:space="preserve"> PAGEREF _Toc211511493 \h </w:instrText>
          </w:r>
          <w:r>
            <w:fldChar w:fldCharType="separate"/>
          </w:r>
          <w:r>
            <w:t>36</w:t>
          </w:r>
          <w:r>
            <w:fldChar w:fldCharType="end"/>
          </w:r>
          <w:r>
            <w:fldChar w:fldCharType="end"/>
          </w:r>
        </w:p>
        <w:p w14:paraId="7F7AECAE">
          <w:pPr>
            <w:pStyle w:val="12"/>
            <w:tabs>
              <w:tab w:val="right" w:leader="dot" w:pos="8296"/>
            </w:tabs>
            <w:rPr>
              <w:szCs w:val="22"/>
            </w:rPr>
          </w:pPr>
          <w:r>
            <w:fldChar w:fldCharType="begin"/>
          </w:r>
          <w:r>
            <w:instrText xml:space="preserve"> HYPERLINK \l "_Toc211511494" </w:instrText>
          </w:r>
          <w:r>
            <w:fldChar w:fldCharType="separate"/>
          </w:r>
          <w:r>
            <w:rPr>
              <w:rStyle w:val="29"/>
              <w:rFonts w:hint="eastAsia" w:ascii="Times New Roman" w:hAnsi="Times New Roman" w:eastAsia="宋体" w:cs="Times New Roman"/>
            </w:rPr>
            <w:t>（六）法律、行政法规规定的其他条件</w:t>
          </w:r>
          <w:r>
            <w:tab/>
          </w:r>
          <w:r>
            <w:fldChar w:fldCharType="begin"/>
          </w:r>
          <w:r>
            <w:instrText xml:space="preserve"> PAGEREF _Toc211511494 \h </w:instrText>
          </w:r>
          <w:r>
            <w:fldChar w:fldCharType="separate"/>
          </w:r>
          <w:r>
            <w:t>37</w:t>
          </w:r>
          <w:r>
            <w:fldChar w:fldCharType="end"/>
          </w:r>
          <w:r>
            <w:fldChar w:fldCharType="end"/>
          </w:r>
        </w:p>
        <w:p w14:paraId="29D6C60D">
          <w:pPr>
            <w:pStyle w:val="12"/>
            <w:tabs>
              <w:tab w:val="right" w:leader="dot" w:pos="8296"/>
            </w:tabs>
            <w:rPr>
              <w:szCs w:val="22"/>
            </w:rPr>
          </w:pPr>
          <w:r>
            <w:fldChar w:fldCharType="begin"/>
          </w:r>
          <w:r>
            <w:instrText xml:space="preserve"> HYPERLINK \l "_Toc211511495" </w:instrText>
          </w:r>
          <w:r>
            <w:fldChar w:fldCharType="separate"/>
          </w:r>
          <w:r>
            <w:rPr>
              <w:rStyle w:val="29"/>
              <w:rFonts w:hint="eastAsia" w:ascii="Times New Roman" w:hAnsi="Times New Roman" w:eastAsia="宋体" w:cs="Times New Roman"/>
            </w:rPr>
            <w:t>（七）落实政府采购政策需满足的资格要求</w:t>
          </w:r>
          <w:r>
            <w:tab/>
          </w:r>
          <w:r>
            <w:fldChar w:fldCharType="begin"/>
          </w:r>
          <w:r>
            <w:instrText xml:space="preserve"> PAGEREF _Toc211511495 \h </w:instrText>
          </w:r>
          <w:r>
            <w:fldChar w:fldCharType="separate"/>
          </w:r>
          <w:r>
            <w:t>38</w:t>
          </w:r>
          <w:r>
            <w:fldChar w:fldCharType="end"/>
          </w:r>
          <w:r>
            <w:fldChar w:fldCharType="end"/>
          </w:r>
        </w:p>
        <w:p w14:paraId="2F78977F">
          <w:pPr>
            <w:pStyle w:val="12"/>
            <w:tabs>
              <w:tab w:val="right" w:leader="dot" w:pos="8296"/>
            </w:tabs>
            <w:rPr>
              <w:szCs w:val="22"/>
            </w:rPr>
          </w:pPr>
          <w:r>
            <w:fldChar w:fldCharType="begin"/>
          </w:r>
          <w:r>
            <w:instrText xml:space="preserve"> HYPERLINK \l "_Toc211511496" </w:instrText>
          </w:r>
          <w:r>
            <w:fldChar w:fldCharType="separate"/>
          </w:r>
          <w:r>
            <w:rPr>
              <w:rStyle w:val="29"/>
              <w:rFonts w:hint="eastAsia" w:ascii="Times New Roman" w:hAnsi="Times New Roman" w:eastAsia="宋体" w:cs="Times New Roman"/>
            </w:rPr>
            <w:t>（八）本项目的特定资格要求</w:t>
          </w:r>
          <w:r>
            <w:tab/>
          </w:r>
          <w:r>
            <w:fldChar w:fldCharType="begin"/>
          </w:r>
          <w:r>
            <w:instrText xml:space="preserve"> PAGEREF _Toc211511496 \h </w:instrText>
          </w:r>
          <w:r>
            <w:fldChar w:fldCharType="separate"/>
          </w:r>
          <w:r>
            <w:t>39</w:t>
          </w:r>
          <w:r>
            <w:fldChar w:fldCharType="end"/>
          </w:r>
          <w:r>
            <w:fldChar w:fldCharType="end"/>
          </w:r>
        </w:p>
        <w:p w14:paraId="4058B482">
          <w:pPr>
            <w:pStyle w:val="12"/>
            <w:tabs>
              <w:tab w:val="right" w:leader="dot" w:pos="8296"/>
            </w:tabs>
            <w:rPr>
              <w:szCs w:val="22"/>
            </w:rPr>
          </w:pPr>
          <w:r>
            <w:fldChar w:fldCharType="begin"/>
          </w:r>
          <w:r>
            <w:instrText xml:space="preserve"> HYPERLINK \l "_Toc211511497" </w:instrText>
          </w:r>
          <w:r>
            <w:fldChar w:fldCharType="separate"/>
          </w:r>
          <w:r>
            <w:rPr>
              <w:rStyle w:val="29"/>
              <w:rFonts w:hint="eastAsia" w:ascii="Times New Roman" w:hAnsi="Times New Roman" w:eastAsia="宋体" w:cs="Times New Roman"/>
            </w:rPr>
            <w:t>（九）法定代表人</w:t>
          </w:r>
          <w:r>
            <w:rPr>
              <w:rStyle w:val="29"/>
              <w:rFonts w:ascii="Times New Roman" w:hAnsi="Times New Roman" w:eastAsia="宋体" w:cs="Times New Roman"/>
            </w:rPr>
            <w:t>(</w:t>
          </w:r>
          <w:r>
            <w:rPr>
              <w:rStyle w:val="29"/>
              <w:rFonts w:hint="eastAsia" w:ascii="Times New Roman" w:hAnsi="Times New Roman" w:eastAsia="宋体" w:cs="Times New Roman"/>
            </w:rPr>
            <w:t>负责人</w:t>
          </w:r>
          <w:r>
            <w:rPr>
              <w:rStyle w:val="29"/>
              <w:rFonts w:ascii="Times New Roman" w:hAnsi="Times New Roman" w:eastAsia="宋体" w:cs="Times New Roman"/>
            </w:rPr>
            <w:t>)</w:t>
          </w:r>
          <w:r>
            <w:rPr>
              <w:rStyle w:val="29"/>
              <w:rFonts w:hint="eastAsia" w:ascii="Times New Roman" w:hAnsi="Times New Roman" w:eastAsia="宋体" w:cs="Times New Roman"/>
            </w:rPr>
            <w:t>身份证明书</w:t>
          </w:r>
          <w:r>
            <w:tab/>
          </w:r>
          <w:r>
            <w:fldChar w:fldCharType="begin"/>
          </w:r>
          <w:r>
            <w:instrText xml:space="preserve"> PAGEREF _Toc211511497 \h </w:instrText>
          </w:r>
          <w:r>
            <w:fldChar w:fldCharType="separate"/>
          </w:r>
          <w:r>
            <w:t>40</w:t>
          </w:r>
          <w:r>
            <w:fldChar w:fldCharType="end"/>
          </w:r>
          <w:r>
            <w:fldChar w:fldCharType="end"/>
          </w:r>
        </w:p>
        <w:p w14:paraId="2611C31C">
          <w:pPr>
            <w:pStyle w:val="12"/>
            <w:tabs>
              <w:tab w:val="right" w:leader="dot" w:pos="8296"/>
            </w:tabs>
            <w:rPr>
              <w:szCs w:val="22"/>
            </w:rPr>
          </w:pPr>
          <w:r>
            <w:fldChar w:fldCharType="begin"/>
          </w:r>
          <w:r>
            <w:instrText xml:space="preserve"> HYPERLINK \l "_Toc211511498" </w:instrText>
          </w:r>
          <w:r>
            <w:fldChar w:fldCharType="separate"/>
          </w:r>
          <w:r>
            <w:rPr>
              <w:rStyle w:val="29"/>
              <w:rFonts w:hint="eastAsia" w:ascii="Times New Roman" w:hAnsi="Times New Roman" w:eastAsia="宋体" w:cs="Times New Roman"/>
            </w:rPr>
            <w:t>（十）法定代表人</w:t>
          </w:r>
          <w:r>
            <w:rPr>
              <w:rStyle w:val="29"/>
              <w:rFonts w:ascii="Times New Roman" w:hAnsi="Times New Roman" w:eastAsia="宋体" w:cs="Times New Roman"/>
            </w:rPr>
            <w:t>(</w:t>
          </w:r>
          <w:r>
            <w:rPr>
              <w:rStyle w:val="29"/>
              <w:rFonts w:hint="eastAsia" w:ascii="Times New Roman" w:hAnsi="Times New Roman" w:eastAsia="宋体" w:cs="Times New Roman"/>
            </w:rPr>
            <w:t>负责人</w:t>
          </w:r>
          <w:r>
            <w:rPr>
              <w:rStyle w:val="29"/>
              <w:rFonts w:ascii="Times New Roman" w:hAnsi="Times New Roman" w:eastAsia="宋体" w:cs="Times New Roman"/>
            </w:rPr>
            <w:t>)</w:t>
          </w:r>
          <w:r>
            <w:rPr>
              <w:rStyle w:val="29"/>
              <w:rFonts w:hint="eastAsia" w:ascii="Times New Roman" w:hAnsi="Times New Roman" w:eastAsia="宋体" w:cs="Times New Roman"/>
            </w:rPr>
            <w:t>授权委托书</w:t>
          </w:r>
          <w:r>
            <w:tab/>
          </w:r>
          <w:r>
            <w:fldChar w:fldCharType="begin"/>
          </w:r>
          <w:r>
            <w:instrText xml:space="preserve"> PAGEREF _Toc211511498 \h </w:instrText>
          </w:r>
          <w:r>
            <w:fldChar w:fldCharType="separate"/>
          </w:r>
          <w:r>
            <w:t>41</w:t>
          </w:r>
          <w:r>
            <w:fldChar w:fldCharType="end"/>
          </w:r>
          <w:r>
            <w:fldChar w:fldCharType="end"/>
          </w:r>
        </w:p>
        <w:p w14:paraId="1276C185">
          <w:pPr>
            <w:pStyle w:val="20"/>
            <w:tabs>
              <w:tab w:val="right" w:leader="dot" w:pos="8296"/>
            </w:tabs>
            <w:rPr>
              <w:szCs w:val="22"/>
            </w:rPr>
          </w:pPr>
          <w:r>
            <w:fldChar w:fldCharType="begin"/>
          </w:r>
          <w:r>
            <w:instrText xml:space="preserve"> HYPERLINK \l "_Toc211511499" </w:instrText>
          </w:r>
          <w:r>
            <w:fldChar w:fldCharType="separate"/>
          </w:r>
          <w:r>
            <w:rPr>
              <w:rStyle w:val="29"/>
              <w:rFonts w:hint="eastAsia" w:ascii="Times New Roman" w:hAnsi="Times New Roman" w:eastAsia="宋体" w:cs="Times New Roman"/>
            </w:rPr>
            <w:t>（十一）资格承诺函</w:t>
          </w:r>
          <w:r>
            <w:tab/>
          </w:r>
          <w:r>
            <w:fldChar w:fldCharType="begin"/>
          </w:r>
          <w:r>
            <w:instrText xml:space="preserve"> PAGEREF _Toc211511499 \h </w:instrText>
          </w:r>
          <w:r>
            <w:fldChar w:fldCharType="separate"/>
          </w:r>
          <w:r>
            <w:t>42</w:t>
          </w:r>
          <w:r>
            <w:fldChar w:fldCharType="end"/>
          </w:r>
          <w:r>
            <w:fldChar w:fldCharType="end"/>
          </w:r>
        </w:p>
        <w:p w14:paraId="70EAD591">
          <w:pPr>
            <w:pStyle w:val="20"/>
            <w:tabs>
              <w:tab w:val="right" w:leader="dot" w:pos="8296"/>
            </w:tabs>
            <w:rPr>
              <w:szCs w:val="22"/>
            </w:rPr>
          </w:pPr>
          <w:r>
            <w:fldChar w:fldCharType="begin"/>
          </w:r>
          <w:r>
            <w:instrText xml:space="preserve"> HYPERLINK \l "_Toc211511500" </w:instrText>
          </w:r>
          <w:r>
            <w:fldChar w:fldCharType="separate"/>
          </w:r>
          <w:r>
            <w:rPr>
              <w:rStyle w:val="29"/>
              <w:rFonts w:hint="eastAsia"/>
            </w:rPr>
            <w:t>二、技术部分</w:t>
          </w:r>
          <w:r>
            <w:tab/>
          </w:r>
          <w:r>
            <w:fldChar w:fldCharType="begin"/>
          </w:r>
          <w:r>
            <w:instrText xml:space="preserve"> PAGEREF _Toc211511500 \h </w:instrText>
          </w:r>
          <w:r>
            <w:fldChar w:fldCharType="separate"/>
          </w:r>
          <w:r>
            <w:t>43</w:t>
          </w:r>
          <w:r>
            <w:fldChar w:fldCharType="end"/>
          </w:r>
          <w:r>
            <w:fldChar w:fldCharType="end"/>
          </w:r>
        </w:p>
        <w:p w14:paraId="7C101C19">
          <w:pPr>
            <w:pStyle w:val="20"/>
            <w:tabs>
              <w:tab w:val="right" w:leader="dot" w:pos="8296"/>
            </w:tabs>
            <w:rPr>
              <w:szCs w:val="22"/>
            </w:rPr>
          </w:pPr>
          <w:r>
            <w:fldChar w:fldCharType="begin"/>
          </w:r>
          <w:r>
            <w:instrText xml:space="preserve"> HYPERLINK \l "_Toc211511501" </w:instrText>
          </w:r>
          <w:r>
            <w:fldChar w:fldCharType="separate"/>
          </w:r>
          <w:r>
            <w:rPr>
              <w:rStyle w:val="29"/>
              <w:rFonts w:hint="eastAsia"/>
            </w:rPr>
            <w:t>三、商务部分</w:t>
          </w:r>
          <w:r>
            <w:tab/>
          </w:r>
          <w:r>
            <w:fldChar w:fldCharType="begin"/>
          </w:r>
          <w:r>
            <w:instrText xml:space="preserve"> PAGEREF _Toc211511501 \h </w:instrText>
          </w:r>
          <w:r>
            <w:fldChar w:fldCharType="separate"/>
          </w:r>
          <w:r>
            <w:t>44</w:t>
          </w:r>
          <w:r>
            <w:fldChar w:fldCharType="end"/>
          </w:r>
          <w:r>
            <w:fldChar w:fldCharType="end"/>
          </w:r>
        </w:p>
        <w:p w14:paraId="1112F82D">
          <w:pPr>
            <w:pStyle w:val="12"/>
            <w:tabs>
              <w:tab w:val="right" w:leader="dot" w:pos="8296"/>
            </w:tabs>
            <w:rPr>
              <w:szCs w:val="22"/>
            </w:rPr>
          </w:pPr>
          <w:r>
            <w:fldChar w:fldCharType="begin"/>
          </w:r>
          <w:r>
            <w:instrText xml:space="preserve"> HYPERLINK \l "_Toc211511502" </w:instrText>
          </w:r>
          <w:r>
            <w:fldChar w:fldCharType="separate"/>
          </w:r>
          <w:r>
            <w:rPr>
              <w:rStyle w:val="29"/>
              <w:rFonts w:hint="eastAsia" w:ascii="Times New Roman" w:hAnsi="Times New Roman" w:eastAsia="宋体" w:cs="Times New Roman"/>
            </w:rPr>
            <w:t>（一） 供应商能力</w:t>
          </w:r>
          <w:r>
            <w:tab/>
          </w:r>
          <w:r>
            <w:fldChar w:fldCharType="begin"/>
          </w:r>
          <w:r>
            <w:instrText xml:space="preserve"> PAGEREF _Toc211511502 \h </w:instrText>
          </w:r>
          <w:r>
            <w:fldChar w:fldCharType="separate"/>
          </w:r>
          <w:r>
            <w:t>45</w:t>
          </w:r>
          <w:r>
            <w:fldChar w:fldCharType="end"/>
          </w:r>
          <w:r>
            <w:fldChar w:fldCharType="end"/>
          </w:r>
        </w:p>
        <w:p w14:paraId="1FC78B06">
          <w:pPr>
            <w:pStyle w:val="12"/>
            <w:tabs>
              <w:tab w:val="right" w:leader="dot" w:pos="8296"/>
            </w:tabs>
            <w:rPr>
              <w:szCs w:val="22"/>
            </w:rPr>
          </w:pPr>
          <w:r>
            <w:fldChar w:fldCharType="begin"/>
          </w:r>
          <w:r>
            <w:instrText xml:space="preserve"> HYPERLINK \l "_Toc211511503" </w:instrText>
          </w:r>
          <w:r>
            <w:fldChar w:fldCharType="separate"/>
          </w:r>
          <w:r>
            <w:rPr>
              <w:rStyle w:val="29"/>
              <w:rFonts w:hint="eastAsia" w:ascii="Times New Roman" w:hAnsi="Times New Roman" w:eastAsia="宋体" w:cs="Times New Roman"/>
            </w:rPr>
            <w:t>（二） 经验</w:t>
          </w:r>
          <w:r>
            <w:tab/>
          </w:r>
          <w:r>
            <w:fldChar w:fldCharType="begin"/>
          </w:r>
          <w:r>
            <w:instrText xml:space="preserve"> PAGEREF _Toc211511503 \h </w:instrText>
          </w:r>
          <w:r>
            <w:fldChar w:fldCharType="separate"/>
          </w:r>
          <w:r>
            <w:t>46</w:t>
          </w:r>
          <w:r>
            <w:fldChar w:fldCharType="end"/>
          </w:r>
          <w:r>
            <w:fldChar w:fldCharType="end"/>
          </w:r>
        </w:p>
        <w:p w14:paraId="452D3341">
          <w:pPr>
            <w:pStyle w:val="12"/>
            <w:tabs>
              <w:tab w:val="right" w:leader="dot" w:pos="8296"/>
            </w:tabs>
            <w:rPr>
              <w:szCs w:val="22"/>
            </w:rPr>
          </w:pPr>
          <w:r>
            <w:fldChar w:fldCharType="begin"/>
          </w:r>
          <w:r>
            <w:instrText xml:space="preserve"> HYPERLINK \l "_Toc211511504" </w:instrText>
          </w:r>
          <w:r>
            <w:fldChar w:fldCharType="separate"/>
          </w:r>
          <w:r>
            <w:rPr>
              <w:rStyle w:val="29"/>
              <w:rFonts w:ascii="宋体" w:hAnsi="宋体" w:eastAsia="宋体" w:cs="宋体"/>
            </w:rPr>
            <w:t>(</w:t>
          </w:r>
          <w:r>
            <w:rPr>
              <w:rStyle w:val="29"/>
              <w:rFonts w:hint="eastAsia" w:ascii="宋体" w:hAnsi="宋体" w:eastAsia="宋体" w:cs="宋体"/>
            </w:rPr>
            <w:t>三</w:t>
          </w:r>
          <w:r>
            <w:rPr>
              <w:rStyle w:val="29"/>
              <w:rFonts w:ascii="宋体" w:hAnsi="宋体" w:eastAsia="宋体" w:cs="宋体"/>
            </w:rPr>
            <w:t>)</w:t>
          </w:r>
          <w:r>
            <w:rPr>
              <w:rStyle w:val="29"/>
              <w:rFonts w:hint="eastAsia" w:ascii="宋体" w:hAnsi="宋体" w:eastAsia="宋体" w:cs="宋体"/>
            </w:rPr>
            <w:t>总监理工程师能力</w:t>
          </w:r>
          <w:r>
            <w:tab/>
          </w:r>
          <w:r>
            <w:fldChar w:fldCharType="begin"/>
          </w:r>
          <w:r>
            <w:instrText xml:space="preserve"> PAGEREF _Toc211511504 \h </w:instrText>
          </w:r>
          <w:r>
            <w:fldChar w:fldCharType="separate"/>
          </w:r>
          <w:r>
            <w:t>47</w:t>
          </w:r>
          <w:r>
            <w:fldChar w:fldCharType="end"/>
          </w:r>
          <w:r>
            <w:fldChar w:fldCharType="end"/>
          </w:r>
        </w:p>
        <w:p w14:paraId="721428CA">
          <w:pPr>
            <w:pStyle w:val="12"/>
            <w:tabs>
              <w:tab w:val="right" w:leader="dot" w:pos="8296"/>
            </w:tabs>
            <w:rPr>
              <w:szCs w:val="22"/>
            </w:rPr>
          </w:pPr>
          <w:r>
            <w:fldChar w:fldCharType="begin"/>
          </w:r>
          <w:r>
            <w:instrText xml:space="preserve"> HYPERLINK \l "_Toc211511505" </w:instrText>
          </w:r>
          <w:r>
            <w:fldChar w:fldCharType="separate"/>
          </w:r>
          <w:r>
            <w:rPr>
              <w:rStyle w:val="29"/>
              <w:rFonts w:ascii="宋体" w:hAnsi="宋体" w:eastAsia="宋体" w:cs="宋体"/>
            </w:rPr>
            <w:t>(</w:t>
          </w:r>
          <w:r>
            <w:rPr>
              <w:rStyle w:val="29"/>
              <w:rFonts w:hint="eastAsia" w:ascii="宋体" w:hAnsi="宋体" w:eastAsia="宋体" w:cs="宋体"/>
            </w:rPr>
            <w:t>四</w:t>
          </w:r>
          <w:r>
            <w:rPr>
              <w:rStyle w:val="29"/>
              <w:rFonts w:ascii="宋体" w:hAnsi="宋体" w:eastAsia="宋体" w:cs="宋体"/>
            </w:rPr>
            <w:t>)</w:t>
          </w:r>
          <w:r>
            <w:rPr>
              <w:rStyle w:val="29"/>
              <w:rFonts w:hint="eastAsia" w:ascii="宋体" w:hAnsi="宋体" w:eastAsia="宋体" w:cs="宋体"/>
            </w:rPr>
            <w:t>项目组成人员</w:t>
          </w:r>
          <w:r>
            <w:tab/>
          </w:r>
          <w:r>
            <w:fldChar w:fldCharType="begin"/>
          </w:r>
          <w:r>
            <w:instrText xml:space="preserve"> PAGEREF _Toc211511505 \h </w:instrText>
          </w:r>
          <w:r>
            <w:fldChar w:fldCharType="separate"/>
          </w:r>
          <w:r>
            <w:t>48</w:t>
          </w:r>
          <w:r>
            <w:fldChar w:fldCharType="end"/>
          </w:r>
          <w:r>
            <w:fldChar w:fldCharType="end"/>
          </w:r>
        </w:p>
        <w:p w14:paraId="0A6DC7F8">
          <w:pPr>
            <w:pStyle w:val="12"/>
            <w:tabs>
              <w:tab w:val="right" w:leader="dot" w:pos="8296"/>
            </w:tabs>
            <w:rPr>
              <w:szCs w:val="22"/>
            </w:rPr>
          </w:pPr>
          <w:r>
            <w:fldChar w:fldCharType="begin"/>
          </w:r>
          <w:r>
            <w:instrText xml:space="preserve"> HYPERLINK \l "_Toc211511506" </w:instrText>
          </w:r>
          <w:r>
            <w:fldChar w:fldCharType="separate"/>
          </w:r>
          <w:r>
            <w:rPr>
              <w:rStyle w:val="29"/>
              <w:rFonts w:hint="eastAsia" w:ascii="Times New Roman" w:hAnsi="Times New Roman" w:eastAsia="宋体" w:cs="Times New Roman"/>
            </w:rPr>
            <w:t>（五）首次报价一览表</w:t>
          </w:r>
          <w:r>
            <w:tab/>
          </w:r>
          <w:r>
            <w:fldChar w:fldCharType="begin"/>
          </w:r>
          <w:r>
            <w:instrText xml:space="preserve"> PAGEREF _Toc211511506 \h </w:instrText>
          </w:r>
          <w:r>
            <w:fldChar w:fldCharType="separate"/>
          </w:r>
          <w:r>
            <w:t>49</w:t>
          </w:r>
          <w:r>
            <w:fldChar w:fldCharType="end"/>
          </w:r>
          <w:r>
            <w:fldChar w:fldCharType="end"/>
          </w:r>
        </w:p>
        <w:p w14:paraId="309D2EDD">
          <w:pPr>
            <w:pStyle w:val="20"/>
            <w:tabs>
              <w:tab w:val="right" w:leader="dot" w:pos="8296"/>
            </w:tabs>
            <w:rPr>
              <w:szCs w:val="22"/>
            </w:rPr>
          </w:pPr>
          <w:r>
            <w:fldChar w:fldCharType="begin"/>
          </w:r>
          <w:r>
            <w:instrText xml:space="preserve"> HYPERLINK \l "_Toc211511507" </w:instrText>
          </w:r>
          <w:r>
            <w:fldChar w:fldCharType="separate"/>
          </w:r>
          <w:r>
            <w:rPr>
              <w:rStyle w:val="29"/>
              <w:rFonts w:hint="eastAsia"/>
            </w:rPr>
            <w:t>四、其它部分</w:t>
          </w:r>
          <w:r>
            <w:tab/>
          </w:r>
          <w:r>
            <w:fldChar w:fldCharType="begin"/>
          </w:r>
          <w:r>
            <w:instrText xml:space="preserve"> PAGEREF _Toc211511507 \h </w:instrText>
          </w:r>
          <w:r>
            <w:fldChar w:fldCharType="separate"/>
          </w:r>
          <w:r>
            <w:t>50</w:t>
          </w:r>
          <w:r>
            <w:fldChar w:fldCharType="end"/>
          </w:r>
          <w:r>
            <w:fldChar w:fldCharType="end"/>
          </w:r>
        </w:p>
        <w:p w14:paraId="191BAFDA">
          <w:pPr>
            <w:pStyle w:val="12"/>
            <w:tabs>
              <w:tab w:val="right" w:leader="dot" w:pos="8296"/>
            </w:tabs>
            <w:rPr>
              <w:szCs w:val="22"/>
            </w:rPr>
          </w:pPr>
          <w:r>
            <w:fldChar w:fldCharType="begin"/>
          </w:r>
          <w:r>
            <w:instrText xml:space="preserve"> HYPERLINK \l "_Toc211511508" </w:instrText>
          </w:r>
          <w:r>
            <w:fldChar w:fldCharType="separate"/>
          </w:r>
          <w:r>
            <w:rPr>
              <w:rStyle w:val="29"/>
              <w:rFonts w:ascii="Times New Roman" w:hAnsi="Times New Roman" w:eastAsia="宋体" w:cs="Times New Roman"/>
            </w:rPr>
            <w:t>(</w:t>
          </w:r>
          <w:r>
            <w:rPr>
              <w:rStyle w:val="29"/>
              <w:rFonts w:hint="eastAsia" w:ascii="Times New Roman" w:hAnsi="Times New Roman" w:eastAsia="宋体" w:cs="Times New Roman"/>
            </w:rPr>
            <w:t>一</w:t>
          </w:r>
          <w:r>
            <w:rPr>
              <w:rStyle w:val="29"/>
              <w:rFonts w:ascii="Times New Roman" w:hAnsi="Times New Roman" w:eastAsia="宋体" w:cs="Times New Roman"/>
            </w:rPr>
            <w:t>)</w:t>
          </w:r>
          <w:r>
            <w:rPr>
              <w:rStyle w:val="29"/>
              <w:rFonts w:hint="eastAsia" w:ascii="Times New Roman" w:hAnsi="Times New Roman" w:eastAsia="宋体" w:cs="Times New Roman"/>
            </w:rPr>
            <w:t>中小企业声明函</w:t>
          </w:r>
          <w:r>
            <w:tab/>
          </w:r>
          <w:r>
            <w:fldChar w:fldCharType="begin"/>
          </w:r>
          <w:r>
            <w:instrText xml:space="preserve"> PAGEREF _Toc211511508 \h </w:instrText>
          </w:r>
          <w:r>
            <w:fldChar w:fldCharType="separate"/>
          </w:r>
          <w:r>
            <w:t>51</w:t>
          </w:r>
          <w:r>
            <w:fldChar w:fldCharType="end"/>
          </w:r>
          <w:r>
            <w:fldChar w:fldCharType="end"/>
          </w:r>
        </w:p>
        <w:p w14:paraId="5635F052">
          <w:pPr>
            <w:pStyle w:val="12"/>
            <w:tabs>
              <w:tab w:val="right" w:leader="dot" w:pos="8296"/>
            </w:tabs>
            <w:rPr>
              <w:szCs w:val="22"/>
            </w:rPr>
          </w:pPr>
          <w:r>
            <w:fldChar w:fldCharType="begin"/>
          </w:r>
          <w:r>
            <w:instrText xml:space="preserve"> HYPERLINK \l "_Toc211511509" </w:instrText>
          </w:r>
          <w:r>
            <w:fldChar w:fldCharType="separate"/>
          </w:r>
          <w:r>
            <w:rPr>
              <w:rStyle w:val="29"/>
              <w:rFonts w:ascii="Times New Roman" w:hAnsi="Times New Roman" w:eastAsia="宋体" w:cs="Times New Roman"/>
            </w:rPr>
            <w:t>(</w:t>
          </w:r>
          <w:r>
            <w:rPr>
              <w:rStyle w:val="29"/>
              <w:rFonts w:hint="eastAsia" w:ascii="Times New Roman" w:hAnsi="Times New Roman" w:eastAsia="宋体" w:cs="Times New Roman"/>
            </w:rPr>
            <w:t>二</w:t>
          </w:r>
          <w:r>
            <w:rPr>
              <w:rStyle w:val="29"/>
              <w:rFonts w:ascii="Times New Roman" w:hAnsi="Times New Roman" w:eastAsia="宋体" w:cs="Times New Roman"/>
            </w:rPr>
            <w:t>)</w:t>
          </w:r>
          <w:r>
            <w:rPr>
              <w:rStyle w:val="29"/>
              <w:rFonts w:hint="eastAsia" w:ascii="Times New Roman" w:hAnsi="Times New Roman" w:eastAsia="宋体" w:cs="Times New Roman"/>
            </w:rPr>
            <w:t>按磋商文件要求供应商所能提供的其他文件</w:t>
          </w:r>
          <w:r>
            <w:tab/>
          </w:r>
          <w:r>
            <w:fldChar w:fldCharType="begin"/>
          </w:r>
          <w:r>
            <w:instrText xml:space="preserve"> PAGEREF _Toc211511509 \h </w:instrText>
          </w:r>
          <w:r>
            <w:fldChar w:fldCharType="separate"/>
          </w:r>
          <w:r>
            <w:t>52</w:t>
          </w:r>
          <w:r>
            <w:fldChar w:fldCharType="end"/>
          </w:r>
          <w:r>
            <w:fldChar w:fldCharType="end"/>
          </w:r>
        </w:p>
        <w:p w14:paraId="0482EE24">
          <w:pPr>
            <w:pStyle w:val="7"/>
            <w:jc w:val="center"/>
            <w:rPr>
              <w:rFonts w:ascii="宋体" w:hAnsi="宋体" w:eastAsia="宋体" w:cs="宋体"/>
              <w:spacing w:val="7"/>
              <w:sz w:val="35"/>
              <w:szCs w:val="35"/>
            </w:rPr>
          </w:pPr>
          <w:r>
            <w:rPr>
              <w:rFonts w:ascii="宋体" w:hAnsi="宋体" w:eastAsia="宋体" w:cs="宋体"/>
              <w:spacing w:val="7"/>
              <w:szCs w:val="35"/>
            </w:rPr>
            <w:fldChar w:fldCharType="end"/>
          </w:r>
        </w:p>
      </w:sdtContent>
    </w:sdt>
    <w:p w14:paraId="2DF680B2">
      <w:pPr>
        <w:rPr>
          <w:rFonts w:ascii="宋体" w:hAnsi="宋体" w:eastAsia="宋体" w:cs="宋体"/>
          <w:spacing w:val="7"/>
          <w:sz w:val="35"/>
          <w:szCs w:val="35"/>
        </w:rPr>
      </w:pPr>
    </w:p>
    <w:p w14:paraId="64B3E72E">
      <w:pPr>
        <w:rPr>
          <w:rFonts w:ascii="宋体" w:hAnsi="宋体" w:eastAsia="宋体" w:cs="宋体"/>
          <w:spacing w:val="7"/>
          <w:sz w:val="35"/>
          <w:szCs w:val="35"/>
        </w:rPr>
      </w:pPr>
    </w:p>
    <w:p w14:paraId="513E0D23">
      <w:pPr>
        <w:bidi w:val="0"/>
        <w:rPr>
          <w:rFonts w:asciiTheme="minorHAnsi" w:hAnsiTheme="minorHAnsi" w:eastAsiaTheme="minorEastAsia" w:cstheme="minorBidi"/>
          <w:kern w:val="2"/>
          <w:sz w:val="21"/>
          <w:szCs w:val="24"/>
          <w:lang w:val="en-US" w:eastAsia="zh-CN" w:bidi="ar-SA"/>
        </w:rPr>
      </w:pPr>
    </w:p>
    <w:p w14:paraId="7CB97C71">
      <w:pPr>
        <w:bidi w:val="0"/>
        <w:rPr>
          <w:lang w:val="en-US" w:eastAsia="zh-CN"/>
        </w:rPr>
      </w:pPr>
    </w:p>
    <w:p w14:paraId="7621FCF7">
      <w:pPr>
        <w:tabs>
          <w:tab w:val="left" w:pos="5061"/>
        </w:tabs>
        <w:bidi w:val="0"/>
        <w:jc w:val="left"/>
        <w:rPr>
          <w:lang w:val="en-US" w:eastAsia="zh-CN"/>
        </w:rPr>
        <w:sectPr>
          <w:pgSz w:w="11906" w:h="16838"/>
          <w:pgMar w:top="1440" w:right="1800" w:bottom="1440" w:left="1800" w:header="851" w:footer="992" w:gutter="0"/>
          <w:cols w:space="425" w:num="1"/>
          <w:docGrid w:type="lines" w:linePitch="312" w:charSpace="0"/>
        </w:sectPr>
      </w:pPr>
      <w:r>
        <w:rPr>
          <w:rFonts w:hint="eastAsia"/>
          <w:lang w:val="en-US" w:eastAsia="zh-CN"/>
        </w:rPr>
        <w:tab/>
      </w:r>
    </w:p>
    <w:p w14:paraId="64B8CA97">
      <w:pPr>
        <w:pStyle w:val="2"/>
        <w:spacing w:line="360" w:lineRule="auto"/>
        <w:jc w:val="center"/>
      </w:pPr>
      <w:bookmarkStart w:id="2" w:name="_Toc211511404"/>
      <w:r>
        <w:rPr>
          <w:rFonts w:hint="eastAsia"/>
        </w:rPr>
        <w:t>第一部分磋商邀请</w:t>
      </w:r>
      <w:bookmarkEnd w:id="2"/>
    </w:p>
    <w:tbl>
      <w:tblPr>
        <w:tblStyle w:val="31"/>
        <w:tblW w:w="9634" w:type="dxa"/>
        <w:tblInd w:w="2" w:type="dxa"/>
        <w:tblBorders>
          <w:top w:val="single" w:color="000000" w:sz="2" w:space="0"/>
          <w:left w:val="single" w:color="000000" w:sz="2" w:space="0"/>
          <w:bottom w:val="single" w:color="000000" w:sz="4"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634"/>
      </w:tblGrid>
      <w:tr w14:paraId="1BEBDCC7">
        <w:tblPrEx>
          <w:tblBorders>
            <w:top w:val="single" w:color="000000" w:sz="2" w:space="0"/>
            <w:left w:val="single" w:color="000000" w:sz="2" w:space="0"/>
            <w:bottom w:val="single" w:color="000000" w:sz="4"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081" w:hRule="atLeast"/>
        </w:trPr>
        <w:tc>
          <w:tcPr>
            <w:tcW w:w="9634" w:type="dxa"/>
          </w:tcPr>
          <w:p w14:paraId="2040FEDD">
            <w:pPr>
              <w:spacing w:before="155" w:line="219" w:lineRule="auto"/>
              <w:ind w:left="624"/>
              <w:rPr>
                <w:rFonts w:ascii="宋体" w:hAnsi="宋体" w:eastAsia="宋体" w:cs="宋体"/>
                <w:sz w:val="24"/>
              </w:rPr>
            </w:pPr>
            <w:bookmarkStart w:id="3" w:name="_Hlk142300563"/>
            <w:r>
              <w:rPr>
                <w:rFonts w:ascii="宋体" w:hAnsi="宋体" w:eastAsia="宋体" w:cs="宋体"/>
                <w:spacing w:val="-3"/>
                <w:sz w:val="24"/>
              </w:rPr>
              <w:t>项目概况</w:t>
            </w:r>
          </w:p>
          <w:p w14:paraId="787E2F5C">
            <w:pPr>
              <w:spacing w:before="183" w:line="362" w:lineRule="auto"/>
              <w:ind w:left="144" w:right="167" w:firstLine="480"/>
              <w:rPr>
                <w:rFonts w:ascii="宋体" w:hAnsi="宋体" w:eastAsia="宋体" w:cs="宋体"/>
                <w:sz w:val="24"/>
              </w:rPr>
            </w:pPr>
            <w:r>
              <w:rPr>
                <w:rFonts w:hint="eastAsia" w:ascii="宋体" w:hAnsi="宋体" w:eastAsia="宋体" w:cs="宋体"/>
                <w:spacing w:val="2"/>
                <w:sz w:val="24"/>
                <w:u w:val="single"/>
                <w:lang w:eastAsia="zh-CN"/>
              </w:rPr>
              <w:t>丹徒区站岗沟行洪通道建设项目工程监理项目</w:t>
            </w:r>
            <w:r>
              <w:rPr>
                <w:rFonts w:ascii="宋体" w:hAnsi="宋体" w:eastAsia="宋体" w:cs="宋体"/>
                <w:spacing w:val="2"/>
                <w:sz w:val="24"/>
              </w:rPr>
              <w:t>项目的潜在供应商应</w:t>
            </w:r>
            <w:r>
              <w:rPr>
                <w:rFonts w:ascii="宋体" w:hAnsi="宋体" w:eastAsia="宋体" w:cs="宋体"/>
                <w:spacing w:val="2"/>
                <w:sz w:val="24"/>
                <w:u w:val="single"/>
              </w:rPr>
              <w:t>在</w:t>
            </w:r>
            <w:r>
              <w:rPr>
                <w:rFonts w:hint="eastAsia" w:ascii="宋体" w:hAnsi="宋体"/>
                <w:sz w:val="24"/>
                <w:szCs w:val="28"/>
                <w:u w:val="single"/>
              </w:rPr>
              <w:t>苏采云（政府采购一体化平台）</w:t>
            </w:r>
            <w:r>
              <w:fldChar w:fldCharType="begin"/>
            </w:r>
            <w:r>
              <w:instrText xml:space="preserve"> HYPERLINK "http://jszfcg.jscz.gov.cn/jszc/login获取磋商文件，并于2025年10月" </w:instrText>
            </w:r>
            <w:r>
              <w:fldChar w:fldCharType="separate"/>
            </w:r>
            <w:r>
              <w:rPr>
                <w:rStyle w:val="29"/>
                <w:rFonts w:hint="eastAsia" w:ascii="宋体" w:hAnsi="宋体"/>
                <w:color w:val="auto"/>
                <w:sz w:val="24"/>
                <w:szCs w:val="28"/>
              </w:rPr>
              <w:t>http://jszfcg.jscz.gov.cn/jszc/login</w:t>
            </w:r>
            <w:r>
              <w:rPr>
                <w:rStyle w:val="29"/>
                <w:rFonts w:ascii="宋体" w:hAnsi="宋体" w:eastAsia="宋体" w:cs="宋体"/>
                <w:color w:val="auto"/>
                <w:spacing w:val="-1"/>
                <w:sz w:val="24"/>
              </w:rPr>
              <w:t>获取磋商文</w:t>
            </w:r>
            <w:r>
              <w:rPr>
                <w:rStyle w:val="29"/>
                <w:rFonts w:ascii="宋体" w:hAnsi="宋体" w:eastAsia="宋体" w:cs="宋体"/>
                <w:color w:val="auto"/>
                <w:spacing w:val="3"/>
                <w:sz w:val="24"/>
              </w:rPr>
              <w:t>件，并于</w:t>
            </w:r>
            <w:r>
              <w:rPr>
                <w:rStyle w:val="29"/>
                <w:rFonts w:hint="eastAsia" w:ascii="宋体" w:hAnsi="宋体" w:eastAsia="宋体" w:cs="宋体"/>
                <w:color w:val="auto"/>
                <w:spacing w:val="3"/>
                <w:sz w:val="24"/>
              </w:rPr>
              <w:t>2025年1</w:t>
            </w:r>
            <w:r>
              <w:rPr>
                <w:rStyle w:val="29"/>
                <w:rFonts w:hint="eastAsia" w:ascii="宋体" w:hAnsi="宋体" w:eastAsia="宋体" w:cs="宋体"/>
                <w:color w:val="auto"/>
                <w:spacing w:val="3"/>
                <w:sz w:val="24"/>
                <w:lang w:val="en-US" w:eastAsia="zh-CN"/>
              </w:rPr>
              <w:t>1</w:t>
            </w:r>
            <w:r>
              <w:rPr>
                <w:rStyle w:val="29"/>
                <w:rFonts w:hint="eastAsia" w:ascii="宋体" w:hAnsi="宋体" w:eastAsia="宋体" w:cs="宋体"/>
                <w:color w:val="auto"/>
                <w:spacing w:val="3"/>
                <w:sz w:val="24"/>
              </w:rPr>
              <w:t>月</w:t>
            </w:r>
            <w:r>
              <w:rPr>
                <w:rStyle w:val="29"/>
                <w:rFonts w:hint="eastAsia" w:ascii="宋体" w:hAnsi="宋体" w:eastAsia="宋体" w:cs="宋体"/>
                <w:color w:val="auto"/>
                <w:spacing w:val="3"/>
                <w:sz w:val="24"/>
              </w:rPr>
              <w:fldChar w:fldCharType="end"/>
            </w:r>
            <w:r>
              <w:rPr>
                <w:rFonts w:hint="eastAsia" w:ascii="宋体" w:hAnsi="宋体" w:eastAsia="宋体" w:cs="宋体"/>
                <w:spacing w:val="3"/>
                <w:sz w:val="24"/>
                <w:u w:val="single"/>
                <w:lang w:val="en-US" w:eastAsia="zh-CN"/>
              </w:rPr>
              <w:t>25</w:t>
            </w:r>
            <w:r>
              <w:rPr>
                <w:rFonts w:hint="eastAsia" w:ascii="宋体" w:hAnsi="宋体" w:eastAsia="宋体" w:cs="宋体"/>
                <w:spacing w:val="3"/>
                <w:sz w:val="24"/>
                <w:u w:val="single"/>
              </w:rPr>
              <w:t>日</w:t>
            </w:r>
            <w:r>
              <w:rPr>
                <w:rFonts w:ascii="Times New Roman" w:hAnsi="Times New Roman" w:eastAsia="Times New Roman" w:cs="Times New Roman"/>
                <w:spacing w:val="3"/>
                <w:sz w:val="24"/>
                <w:u w:val="single"/>
              </w:rPr>
              <w:t>09:30</w:t>
            </w:r>
            <w:r>
              <w:rPr>
                <w:rFonts w:ascii="宋体" w:hAnsi="宋体" w:eastAsia="宋体" w:cs="宋体"/>
                <w:spacing w:val="3"/>
                <w:sz w:val="24"/>
              </w:rPr>
              <w:t>(北京时间)前递交</w:t>
            </w:r>
            <w:r>
              <w:rPr>
                <w:rFonts w:ascii="宋体" w:hAnsi="宋体" w:eastAsia="宋体" w:cs="宋体"/>
                <w:spacing w:val="2"/>
                <w:sz w:val="24"/>
              </w:rPr>
              <w:t>响应文件。</w:t>
            </w:r>
          </w:p>
        </w:tc>
      </w:tr>
    </w:tbl>
    <w:p w14:paraId="4281779D"/>
    <w:p w14:paraId="7BD69A26">
      <w:pPr>
        <w:pStyle w:val="3"/>
        <w:spacing w:line="360" w:lineRule="auto"/>
        <w:jc w:val="left"/>
      </w:pPr>
      <w:bookmarkStart w:id="4" w:name="_Toc211511405"/>
      <w:r>
        <w:t>一、项目基本情况</w:t>
      </w:r>
      <w:bookmarkEnd w:id="4"/>
    </w:p>
    <w:p w14:paraId="72E49505">
      <w:pPr>
        <w:spacing w:line="360" w:lineRule="auto"/>
        <w:ind w:firstLine="480" w:firstLineChars="200"/>
        <w:rPr>
          <w:rFonts w:ascii="Times New Roman" w:hAnsi="Times New Roman" w:eastAsia="宋体" w:cs="Times New Roman"/>
          <w:sz w:val="24"/>
        </w:rPr>
      </w:pPr>
    </w:p>
    <w:p w14:paraId="4635CC57">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项目编号：</w:t>
      </w:r>
      <w:r>
        <w:rPr>
          <w:rFonts w:hint="eastAsia" w:ascii="Times New Roman" w:hAnsi="Times New Roman" w:eastAsia="宋体" w:cs="Times New Roman"/>
          <w:sz w:val="24"/>
          <w:lang w:eastAsia="zh-CN"/>
        </w:rPr>
        <w:t>JSZC-321112-STGC-C2025-0011</w:t>
      </w:r>
      <w:r>
        <w:rPr>
          <w:rFonts w:ascii="Times New Roman" w:hAnsi="Times New Roman" w:eastAsia="宋体" w:cs="Times New Roman"/>
          <w:sz w:val="24"/>
        </w:rPr>
        <w:t xml:space="preserve"> </w:t>
      </w:r>
    </w:p>
    <w:p w14:paraId="18ECF243">
      <w:pPr>
        <w:spacing w:line="360" w:lineRule="auto"/>
        <w:ind w:firstLine="480" w:firstLineChars="200"/>
        <w:rPr>
          <w:rFonts w:hint="eastAsia" w:ascii="Times New Roman" w:hAnsi="Times New Roman" w:eastAsia="宋体" w:cs="Times New Roman"/>
          <w:sz w:val="24"/>
          <w:lang w:eastAsia="zh-CN"/>
        </w:rPr>
      </w:pPr>
      <w:r>
        <w:rPr>
          <w:rFonts w:ascii="Times New Roman" w:hAnsi="Times New Roman" w:eastAsia="宋体" w:cs="Times New Roman"/>
          <w:sz w:val="24"/>
        </w:rPr>
        <w:t>项目名称：</w:t>
      </w:r>
      <w:r>
        <w:rPr>
          <w:rFonts w:hint="eastAsia" w:ascii="Times New Roman" w:hAnsi="Times New Roman" w:eastAsia="宋体" w:cs="Times New Roman"/>
          <w:sz w:val="24"/>
          <w:lang w:eastAsia="zh-CN"/>
        </w:rPr>
        <w:t>丹徒区站岗沟行洪通道建设项目工程监理项目</w:t>
      </w:r>
    </w:p>
    <w:p w14:paraId="5516A0D9">
      <w:pPr>
        <w:spacing w:line="360" w:lineRule="auto"/>
        <w:ind w:firstLine="480" w:firstLineChars="200"/>
        <w:rPr>
          <w:rFonts w:ascii="Times New Roman" w:hAnsi="Times New Roman" w:eastAsia="宋体" w:cs="Times New Roman"/>
          <w:sz w:val="24"/>
          <w:highlight w:val="none"/>
        </w:rPr>
      </w:pPr>
      <w:r>
        <w:rPr>
          <w:rFonts w:ascii="Times New Roman" w:hAnsi="Times New Roman" w:eastAsia="宋体" w:cs="Times New Roman"/>
          <w:sz w:val="24"/>
          <w:highlight w:val="none"/>
        </w:rPr>
        <w:t>预算金额：</w:t>
      </w:r>
      <w:r>
        <w:rPr>
          <w:rFonts w:hint="eastAsia" w:ascii="Times New Roman" w:hAnsi="Times New Roman" w:eastAsia="宋体" w:cs="Times New Roman"/>
          <w:sz w:val="24"/>
          <w:highlight w:val="none"/>
          <w:lang w:val="en-US" w:eastAsia="zh-CN"/>
        </w:rPr>
        <w:t>51</w:t>
      </w:r>
      <w:r>
        <w:rPr>
          <w:rFonts w:hint="eastAsia" w:ascii="Times New Roman" w:hAnsi="Times New Roman" w:eastAsia="宋体" w:cs="Times New Roman"/>
          <w:sz w:val="24"/>
          <w:highlight w:val="none"/>
        </w:rPr>
        <w:t>万</w:t>
      </w:r>
      <w:r>
        <w:rPr>
          <w:rFonts w:ascii="Times New Roman" w:hAnsi="Times New Roman" w:eastAsia="宋体" w:cs="Times New Roman"/>
          <w:sz w:val="24"/>
          <w:highlight w:val="none"/>
        </w:rPr>
        <w:t>元</w:t>
      </w:r>
    </w:p>
    <w:p w14:paraId="60257AA0">
      <w:pPr>
        <w:spacing w:line="360" w:lineRule="auto"/>
        <w:ind w:firstLine="480" w:firstLineChars="200"/>
        <w:rPr>
          <w:rFonts w:hint="eastAsia" w:ascii="Times New Roman" w:hAnsi="Times New Roman" w:eastAsia="宋体" w:cs="Times New Roman"/>
          <w:sz w:val="24"/>
          <w:highlight w:val="none"/>
          <w:lang w:eastAsia="zh-CN"/>
        </w:rPr>
      </w:pPr>
      <w:r>
        <w:rPr>
          <w:rFonts w:ascii="Times New Roman" w:hAnsi="Times New Roman" w:eastAsia="宋体" w:cs="Times New Roman"/>
          <w:sz w:val="24"/>
          <w:highlight w:val="none"/>
        </w:rPr>
        <w:t>最高限价：</w:t>
      </w:r>
      <w:r>
        <w:rPr>
          <w:rFonts w:hint="eastAsia" w:ascii="Times New Roman" w:hAnsi="Times New Roman" w:eastAsia="宋体" w:cs="Times New Roman"/>
          <w:sz w:val="24"/>
          <w:highlight w:val="none"/>
          <w:lang w:val="en-US" w:eastAsia="zh-CN"/>
        </w:rPr>
        <w:t>51</w:t>
      </w:r>
      <w:r>
        <w:rPr>
          <w:rFonts w:hint="eastAsia" w:ascii="Times New Roman" w:hAnsi="Times New Roman" w:eastAsia="宋体" w:cs="Times New Roman"/>
          <w:sz w:val="24"/>
          <w:highlight w:val="none"/>
        </w:rPr>
        <w:t>万</w:t>
      </w:r>
      <w:r>
        <w:rPr>
          <w:rFonts w:ascii="Times New Roman" w:hAnsi="Times New Roman" w:eastAsia="宋体" w:cs="Times New Roman"/>
          <w:sz w:val="24"/>
          <w:highlight w:val="none"/>
        </w:rPr>
        <w:t>元</w:t>
      </w:r>
      <w:r>
        <w:rPr>
          <w:rFonts w:hint="eastAsia" w:ascii="Times New Roman" w:hAnsi="Times New Roman" w:eastAsia="宋体" w:cs="Times New Roman"/>
          <w:sz w:val="24"/>
          <w:highlight w:val="none"/>
          <w:lang w:eastAsia="zh-CN"/>
        </w:rPr>
        <w:t>，</w:t>
      </w:r>
      <w:r>
        <w:rPr>
          <w:rFonts w:hint="eastAsia" w:ascii="Times New Roman" w:hAnsi="Times New Roman" w:eastAsia="宋体" w:cs="Times New Roman"/>
          <w:sz w:val="24"/>
          <w:highlight w:val="none"/>
        </w:rPr>
        <w:t>投标报价超过最高限价的视为无效报价</w:t>
      </w:r>
    </w:p>
    <w:p w14:paraId="18DE2524">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采购需求：详细内容及要求见</w:t>
      </w:r>
      <w:r>
        <w:rPr>
          <w:rFonts w:hint="eastAsia" w:ascii="Times New Roman" w:hAnsi="Times New Roman" w:eastAsia="宋体" w:cs="Times New Roman"/>
          <w:sz w:val="24"/>
        </w:rPr>
        <w:t>第四部分</w:t>
      </w:r>
      <w:r>
        <w:rPr>
          <w:rFonts w:ascii="Times New Roman" w:hAnsi="Times New Roman" w:eastAsia="宋体" w:cs="Times New Roman"/>
          <w:sz w:val="24"/>
        </w:rPr>
        <w:t>采购需求。</w:t>
      </w:r>
    </w:p>
    <w:p w14:paraId="1D43A7D4">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合同履行期限：</w:t>
      </w:r>
      <w:r>
        <w:rPr>
          <w:rFonts w:hint="eastAsia" w:ascii="Times New Roman" w:hAnsi="Times New Roman" w:eastAsia="宋体" w:cs="Times New Roman"/>
          <w:sz w:val="24"/>
          <w:lang w:val="en-US" w:eastAsia="zh-CN"/>
        </w:rPr>
        <w:t>150</w:t>
      </w:r>
      <w:r>
        <w:rPr>
          <w:rFonts w:hint="eastAsia" w:ascii="Times New Roman" w:hAnsi="Times New Roman" w:eastAsia="宋体" w:cs="Times New Roman"/>
          <w:sz w:val="24"/>
        </w:rPr>
        <w:t>日历天</w:t>
      </w:r>
    </w:p>
    <w:p w14:paraId="478A2A03">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本项目是否接受联合体：不接受</w:t>
      </w:r>
    </w:p>
    <w:p w14:paraId="1A7A7F32">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本项目供应商邀请方式：发布公告</w:t>
      </w:r>
    </w:p>
    <w:p w14:paraId="686E6D4A">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本次采购确定的成交供应商数量：1名</w:t>
      </w:r>
    </w:p>
    <w:p w14:paraId="6F639EB3">
      <w:pPr>
        <w:pStyle w:val="3"/>
        <w:spacing w:line="360" w:lineRule="auto"/>
        <w:jc w:val="left"/>
      </w:pPr>
      <w:bookmarkStart w:id="5" w:name="_Toc211511406"/>
      <w:r>
        <w:rPr>
          <w:rFonts w:hint="eastAsia"/>
        </w:rPr>
        <w:t>二</w:t>
      </w:r>
      <w:r>
        <w:t>、申请人的资格要求：</w:t>
      </w:r>
      <w:bookmarkEnd w:id="5"/>
    </w:p>
    <w:p w14:paraId="5BCC2BAB">
      <w:pPr>
        <w:spacing w:line="360" w:lineRule="auto"/>
        <w:rPr>
          <w:rFonts w:ascii="宋体" w:hAnsi="宋体" w:eastAsia="宋体" w:cs="宋体"/>
          <w:spacing w:val="-14"/>
          <w:sz w:val="24"/>
        </w:rPr>
      </w:pPr>
    </w:p>
    <w:p w14:paraId="42B415AA">
      <w:pPr>
        <w:spacing w:line="360" w:lineRule="auto"/>
        <w:ind w:firstLine="424" w:firstLineChars="200"/>
        <w:outlineLvl w:val="2"/>
        <w:rPr>
          <w:rFonts w:ascii="宋体" w:hAnsi="宋体" w:eastAsia="宋体" w:cs="宋体"/>
          <w:spacing w:val="-14"/>
          <w:sz w:val="24"/>
        </w:rPr>
      </w:pPr>
      <w:bookmarkStart w:id="6" w:name="_Toc211511407"/>
      <w:r>
        <w:rPr>
          <w:rFonts w:ascii="宋体" w:hAnsi="宋体" w:eastAsia="宋体" w:cs="宋体"/>
          <w:spacing w:val="-14"/>
          <w:sz w:val="24"/>
        </w:rPr>
        <w:t>1.满足《中华人民共和国政府采购法》第二十二条规定；</w:t>
      </w:r>
      <w:bookmarkEnd w:id="6"/>
    </w:p>
    <w:p w14:paraId="11AFECBC">
      <w:pPr>
        <w:spacing w:line="360" w:lineRule="auto"/>
        <w:ind w:firstLine="480" w:firstLineChars="200"/>
        <w:rPr>
          <w:rFonts w:ascii="宋体" w:hAnsi="宋体" w:eastAsia="宋体" w:cs="宋体"/>
          <w:sz w:val="24"/>
        </w:rPr>
      </w:pPr>
      <w:r>
        <w:rPr>
          <w:rFonts w:hint="eastAsia" w:ascii="宋体" w:hAnsi="宋体" w:eastAsia="宋体" w:cs="宋体"/>
          <w:sz w:val="24"/>
        </w:rPr>
        <w:t xml:space="preserve">1、具有独立承担民事责任的能力(提供法人或者其他组织的营业执照等证明文件，自然人的身份证明); </w:t>
      </w:r>
    </w:p>
    <w:p w14:paraId="251990D6">
      <w:pPr>
        <w:spacing w:line="360" w:lineRule="auto"/>
        <w:ind w:firstLine="480" w:firstLineChars="200"/>
        <w:rPr>
          <w:rFonts w:ascii="宋体" w:hAnsi="宋体" w:eastAsia="宋体" w:cs="宋体"/>
          <w:sz w:val="24"/>
        </w:rPr>
      </w:pPr>
      <w:r>
        <w:rPr>
          <w:rFonts w:hint="eastAsia" w:ascii="宋体" w:hAnsi="宋体" w:eastAsia="宋体" w:cs="宋体"/>
          <w:sz w:val="24"/>
        </w:rPr>
        <w:t xml:space="preserve">2、具有良好的商业信誉和健全的财务会计制度(提供2024年度财务报告(成立不满一年的提供至少一个月)，或银行出具的资信证明，或财政部门认可的政府采购专业担保机构出具的谈判担保函等，或提供资格承诺函); </w:t>
      </w:r>
    </w:p>
    <w:p w14:paraId="60D61F7B">
      <w:pPr>
        <w:spacing w:line="360" w:lineRule="auto"/>
        <w:ind w:firstLine="480" w:firstLineChars="200"/>
        <w:rPr>
          <w:rFonts w:ascii="宋体" w:hAnsi="宋体" w:eastAsia="宋体" w:cs="宋体"/>
          <w:sz w:val="24"/>
        </w:rPr>
      </w:pPr>
      <w:r>
        <w:rPr>
          <w:rFonts w:hint="eastAsia" w:ascii="宋体" w:hAnsi="宋体" w:eastAsia="宋体" w:cs="宋体"/>
          <w:sz w:val="24"/>
        </w:rPr>
        <w:t xml:space="preserve">3、具备履行合同所必需的设备和专业技术能力(提供资格承诺函); </w:t>
      </w:r>
    </w:p>
    <w:p w14:paraId="1182A54D">
      <w:pPr>
        <w:spacing w:line="360" w:lineRule="auto"/>
        <w:ind w:firstLine="480" w:firstLineChars="200"/>
        <w:rPr>
          <w:rFonts w:ascii="宋体" w:hAnsi="宋体" w:eastAsia="宋体" w:cs="宋体"/>
          <w:sz w:val="24"/>
        </w:rPr>
      </w:pPr>
      <w:r>
        <w:rPr>
          <w:rFonts w:hint="eastAsia" w:ascii="宋体" w:hAnsi="宋体" w:eastAsia="宋体" w:cs="宋体"/>
          <w:sz w:val="24"/>
        </w:rPr>
        <w:t xml:space="preserve">4、有依法缴纳税收和职工社会保障资金的良好记录(提供参加本次政府采购活动前半年内(至少一个月) 依法缴纳税收和社会保障资金的相关材料,或提供资格承诺函); </w:t>
      </w:r>
    </w:p>
    <w:p w14:paraId="5C0C38DD">
      <w:pPr>
        <w:spacing w:line="360" w:lineRule="auto"/>
        <w:ind w:firstLine="480" w:firstLineChars="200"/>
        <w:rPr>
          <w:rFonts w:ascii="宋体" w:hAnsi="宋体" w:eastAsia="宋体" w:cs="宋体"/>
          <w:sz w:val="24"/>
        </w:rPr>
      </w:pPr>
      <w:r>
        <w:rPr>
          <w:rFonts w:hint="eastAsia" w:ascii="宋体" w:hAnsi="宋体" w:eastAsia="宋体" w:cs="宋体"/>
          <w:sz w:val="24"/>
        </w:rPr>
        <w:t xml:space="preserve">5、参加政府采购活动前3年内在经营活动中没有重大违法记录(提供资格承诺函); </w:t>
      </w:r>
    </w:p>
    <w:p w14:paraId="5BEE5179">
      <w:pPr>
        <w:spacing w:line="360" w:lineRule="auto"/>
        <w:ind w:firstLine="480" w:firstLineChars="200"/>
        <w:rPr>
          <w:rFonts w:ascii="宋体" w:hAnsi="宋体" w:eastAsia="宋体" w:cs="宋体"/>
          <w:sz w:val="24"/>
        </w:rPr>
      </w:pPr>
      <w:r>
        <w:rPr>
          <w:rFonts w:hint="eastAsia" w:ascii="宋体" w:hAnsi="宋体" w:eastAsia="宋体" w:cs="宋体"/>
          <w:sz w:val="24"/>
        </w:rPr>
        <w:t>6、法律、行政法规规定的其他条件(信用记录查询证明)。</w:t>
      </w:r>
    </w:p>
    <w:p w14:paraId="60B86AF8">
      <w:pPr>
        <w:spacing w:line="360" w:lineRule="auto"/>
        <w:ind w:firstLine="480" w:firstLineChars="200"/>
        <w:outlineLvl w:val="2"/>
        <w:rPr>
          <w:rFonts w:ascii="宋体" w:hAnsi="宋体" w:eastAsia="宋体" w:cs="宋体"/>
          <w:sz w:val="24"/>
        </w:rPr>
      </w:pPr>
      <w:bookmarkStart w:id="7" w:name="_Toc211511408"/>
      <w:r>
        <w:rPr>
          <w:rFonts w:hint="eastAsia" w:ascii="宋体" w:hAnsi="宋体" w:eastAsia="宋体" w:cs="宋体"/>
          <w:sz w:val="24"/>
        </w:rPr>
        <w:t>2.落实政府采购政策需满足的资格要求：</w:t>
      </w:r>
      <w:bookmarkEnd w:id="7"/>
    </w:p>
    <w:p w14:paraId="1DEC8808">
      <w:pPr>
        <w:spacing w:line="360" w:lineRule="auto"/>
        <w:ind w:firstLine="480" w:firstLineChars="200"/>
        <w:rPr>
          <w:rFonts w:ascii="宋体" w:hAnsi="宋体" w:eastAsia="宋体" w:cs="宋体"/>
          <w:sz w:val="24"/>
          <w:highlight w:val="none"/>
        </w:rPr>
      </w:pPr>
      <w:r>
        <w:rPr>
          <w:rFonts w:hint="eastAsia" w:ascii="宋体" w:hAnsi="宋体" w:eastAsia="宋体" w:cs="宋体"/>
          <w:sz w:val="24"/>
        </w:rPr>
        <w:t>根据财政部、工业和信息化部关于印发《政府采购促进中小企业发展管理办法》的通知及苏财购【2022】45 号的相关规定，本项目专门面向中小微企业采购，只接受中小微企业投标。中小企业划分标准见《工业和信息化部、国家统计局、国家发展和改革委员会、财政部关于印发中小企业划型标准规定的通知》(工信部联企业[2011]300号</w:t>
      </w:r>
      <w:r>
        <w:rPr>
          <w:rFonts w:hint="eastAsia" w:ascii="宋体" w:hAnsi="宋体" w:eastAsia="宋体" w:cs="宋体"/>
          <w:sz w:val="24"/>
          <w:highlight w:val="none"/>
        </w:rPr>
        <w:t>)(所属行业:</w:t>
      </w:r>
      <w:r>
        <w:rPr>
          <w:rFonts w:hint="eastAsia" w:ascii="宋体" w:hAnsi="宋体" w:eastAsia="宋体" w:cs="宋体"/>
          <w:sz w:val="24"/>
          <w:highlight w:val="none"/>
          <w:lang w:eastAsia="zh-CN"/>
        </w:rPr>
        <w:t>租赁和商务服务业</w:t>
      </w:r>
      <w:r>
        <w:rPr>
          <w:rFonts w:hint="eastAsia" w:ascii="宋体" w:hAnsi="宋体" w:eastAsia="宋体" w:cs="宋体"/>
          <w:sz w:val="24"/>
          <w:highlight w:val="none"/>
        </w:rPr>
        <w:t>)</w:t>
      </w:r>
    </w:p>
    <w:p w14:paraId="0B5A539D">
      <w:pPr>
        <w:spacing w:line="360" w:lineRule="auto"/>
        <w:ind w:firstLine="480" w:firstLineChars="200"/>
        <w:outlineLvl w:val="2"/>
        <w:rPr>
          <w:rFonts w:ascii="宋体" w:hAnsi="宋体" w:eastAsia="宋体" w:cs="宋体"/>
          <w:sz w:val="24"/>
          <w:highlight w:val="none"/>
        </w:rPr>
      </w:pPr>
      <w:bookmarkStart w:id="8" w:name="_Toc211511409"/>
      <w:r>
        <w:rPr>
          <w:rFonts w:hint="eastAsia" w:ascii="宋体" w:hAnsi="宋体" w:eastAsia="宋体" w:cs="宋体"/>
          <w:sz w:val="24"/>
          <w:highlight w:val="none"/>
        </w:rPr>
        <w:t>3.本项目的特定资格要求：</w:t>
      </w:r>
      <w:bookmarkEnd w:id="8"/>
    </w:p>
    <w:p w14:paraId="274D0F02">
      <w:pPr>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（1）供应商具备工程监理综合资质或者市政公用工程乙级及以上监理资质；（提供资质证书原件扫描件）</w:t>
      </w:r>
    </w:p>
    <w:p w14:paraId="7853F4E6">
      <w:pPr>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（2）拟选派项目总监理工程师资格：国家注册监理工程师（市政公用工程专业）；（提供执业资格证书和注册证书原件扫描件）</w:t>
      </w:r>
    </w:p>
    <w:p w14:paraId="0E5946C8">
      <w:pPr>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（3）拟选派项目总监理工程师在镇江市行政区域内在建工程数量不超过</w:t>
      </w:r>
      <w:r>
        <w:rPr>
          <w:rFonts w:hint="eastAsia" w:ascii="宋体" w:hAnsi="宋体" w:eastAsia="宋体" w:cs="宋体"/>
          <w:sz w:val="24"/>
          <w:highlight w:val="none"/>
          <w:lang w:val="en-US" w:eastAsia="zh-CN"/>
        </w:rPr>
        <w:t>1</w:t>
      </w:r>
      <w:r>
        <w:rPr>
          <w:rFonts w:hint="eastAsia" w:ascii="宋体" w:hAnsi="宋体" w:eastAsia="宋体" w:cs="宋体"/>
          <w:sz w:val="24"/>
          <w:highlight w:val="none"/>
        </w:rPr>
        <w:t>个</w:t>
      </w:r>
      <w:r>
        <w:rPr>
          <w:rFonts w:hint="eastAsia" w:ascii="宋体" w:hAnsi="宋体" w:eastAsia="宋体" w:cs="宋体"/>
          <w:sz w:val="24"/>
          <w:highlight w:val="none"/>
          <w:lang w:eastAsia="zh-CN"/>
        </w:rPr>
        <w:t>，</w:t>
      </w:r>
      <w:r>
        <w:rPr>
          <w:rFonts w:hint="eastAsia" w:ascii="宋体" w:hAnsi="宋体" w:eastAsia="宋体" w:cs="宋体"/>
          <w:sz w:val="24"/>
          <w:highlight w:val="none"/>
        </w:rPr>
        <w:t>镇江市行政区域外不得有在建工程</w:t>
      </w:r>
      <w:r>
        <w:rPr>
          <w:rFonts w:hint="eastAsia" w:ascii="宋体" w:hAnsi="宋体" w:eastAsia="宋体" w:cs="宋体"/>
          <w:sz w:val="24"/>
          <w:highlight w:val="none"/>
          <w:lang w:eastAsia="zh-CN"/>
        </w:rPr>
        <w:t>。</w:t>
      </w:r>
      <w:r>
        <w:rPr>
          <w:rFonts w:hint="eastAsia" w:ascii="宋体" w:hAnsi="宋体" w:eastAsia="宋体" w:cs="宋体"/>
          <w:sz w:val="24"/>
          <w:highlight w:val="none"/>
        </w:rPr>
        <w:t xml:space="preserve"> </w:t>
      </w:r>
    </w:p>
    <w:p w14:paraId="28C456F3">
      <w:pPr>
        <w:pStyle w:val="3"/>
        <w:spacing w:line="360" w:lineRule="auto"/>
        <w:jc w:val="left"/>
        <w:rPr>
          <w:rFonts w:ascii="宋体" w:hAnsi="宋体" w:eastAsia="宋体" w:cs="宋体"/>
          <w:sz w:val="24"/>
        </w:rPr>
      </w:pPr>
      <w:bookmarkStart w:id="9" w:name="_Toc211511410"/>
      <w:r>
        <w:t>三、获取磋商文件</w:t>
      </w:r>
      <w:r>
        <w:rPr>
          <w:rFonts w:hint="eastAsia"/>
        </w:rPr>
        <w:t>：本项目采用网上注册登记方式</w:t>
      </w:r>
      <w:bookmarkEnd w:id="9"/>
    </w:p>
    <w:p w14:paraId="0F485E27">
      <w:pPr>
        <w:spacing w:line="360" w:lineRule="auto"/>
        <w:ind w:firstLine="480" w:firstLineChars="200"/>
        <w:rPr>
          <w:rFonts w:ascii="宋体" w:hAnsi="宋体"/>
          <w:sz w:val="24"/>
          <w:szCs w:val="28"/>
          <w:highlight w:val="none"/>
        </w:rPr>
      </w:pPr>
      <w:r>
        <w:rPr>
          <w:rFonts w:hint="eastAsia" w:ascii="宋体" w:hAnsi="宋体"/>
          <w:sz w:val="24"/>
          <w:szCs w:val="28"/>
        </w:rPr>
        <w:t>获取时间：</w:t>
      </w:r>
      <w:r>
        <w:rPr>
          <w:rFonts w:hint="eastAsia" w:ascii="宋体" w:hAnsi="宋体"/>
          <w:sz w:val="24"/>
          <w:szCs w:val="28"/>
          <w:highlight w:val="none"/>
        </w:rPr>
        <w:t>公告之时起至</w:t>
      </w:r>
      <w:bookmarkStart w:id="10" w:name="EB5b76785362f44756aa7e3ae9a42cd84a"/>
      <w:r>
        <w:rPr>
          <w:rFonts w:hint="eastAsia" w:ascii="宋体" w:hAnsi="宋体"/>
          <w:sz w:val="24"/>
          <w:szCs w:val="28"/>
          <w:highlight w:val="none"/>
        </w:rPr>
        <w:t>2025-1</w:t>
      </w:r>
      <w:r>
        <w:rPr>
          <w:rFonts w:hint="eastAsia" w:ascii="宋体" w:hAnsi="宋体"/>
          <w:sz w:val="24"/>
          <w:szCs w:val="28"/>
          <w:highlight w:val="none"/>
          <w:lang w:val="en-US" w:eastAsia="zh-CN"/>
        </w:rPr>
        <w:t>1</w:t>
      </w:r>
      <w:r>
        <w:rPr>
          <w:rFonts w:hint="eastAsia" w:ascii="宋体" w:hAnsi="宋体"/>
          <w:sz w:val="24"/>
          <w:szCs w:val="28"/>
          <w:highlight w:val="none"/>
        </w:rPr>
        <w:t>-</w:t>
      </w:r>
      <w:r>
        <w:rPr>
          <w:rFonts w:hint="eastAsia" w:ascii="宋体" w:hAnsi="宋体"/>
          <w:sz w:val="24"/>
          <w:szCs w:val="28"/>
          <w:highlight w:val="none"/>
          <w:lang w:val="en-US" w:eastAsia="zh-CN"/>
        </w:rPr>
        <w:t>19-</w:t>
      </w:r>
      <w:r>
        <w:rPr>
          <w:rFonts w:ascii="宋体" w:hAnsi="宋体"/>
          <w:sz w:val="24"/>
          <w:szCs w:val="28"/>
          <w:highlight w:val="none"/>
        </w:rPr>
        <w:t xml:space="preserve"> </w:t>
      </w:r>
      <w:r>
        <w:rPr>
          <w:rFonts w:hint="eastAsia" w:ascii="宋体" w:hAnsi="宋体"/>
          <w:sz w:val="24"/>
          <w:szCs w:val="28"/>
          <w:highlight w:val="none"/>
        </w:rPr>
        <w:t>23:</w:t>
      </w:r>
      <w:bookmarkEnd w:id="10"/>
      <w:r>
        <w:rPr>
          <w:rFonts w:hint="eastAsia" w:ascii="宋体" w:hAnsi="宋体"/>
          <w:sz w:val="24"/>
          <w:szCs w:val="28"/>
          <w:highlight w:val="none"/>
        </w:rPr>
        <w:t>59（北京时间）</w:t>
      </w:r>
    </w:p>
    <w:p w14:paraId="6650C8A5">
      <w:pPr>
        <w:spacing w:line="360" w:lineRule="auto"/>
        <w:ind w:firstLine="480" w:firstLineChars="200"/>
        <w:rPr>
          <w:rFonts w:ascii="宋体" w:hAnsi="宋体"/>
          <w:sz w:val="24"/>
          <w:szCs w:val="28"/>
        </w:rPr>
      </w:pPr>
      <w:r>
        <w:rPr>
          <w:rFonts w:hint="eastAsia" w:ascii="宋体" w:hAnsi="宋体"/>
          <w:sz w:val="24"/>
          <w:szCs w:val="28"/>
        </w:rPr>
        <w:t>获取方式：</w:t>
      </w:r>
    </w:p>
    <w:p w14:paraId="442E50E9">
      <w:pPr>
        <w:spacing w:line="360" w:lineRule="auto"/>
        <w:ind w:firstLine="480" w:firstLineChars="200"/>
        <w:rPr>
          <w:rFonts w:ascii="宋体" w:hAnsi="宋体"/>
          <w:sz w:val="24"/>
          <w:szCs w:val="28"/>
        </w:rPr>
      </w:pPr>
      <w:r>
        <w:rPr>
          <w:rFonts w:hint="eastAsia" w:ascii="宋体" w:hAnsi="宋体"/>
          <w:sz w:val="24"/>
          <w:szCs w:val="28"/>
        </w:rPr>
        <w:t>（1）登录http://jszfcg.jscz.gov.cn/jszc/login首页点击“苏采云”进入系统。</w:t>
      </w:r>
    </w:p>
    <w:p w14:paraId="3FE2D4DC">
      <w:pPr>
        <w:spacing w:line="360" w:lineRule="auto"/>
        <w:ind w:firstLine="480" w:firstLineChars="200"/>
        <w:rPr>
          <w:rFonts w:ascii="宋体" w:hAnsi="宋体"/>
          <w:sz w:val="24"/>
          <w:szCs w:val="28"/>
        </w:rPr>
      </w:pPr>
      <w:r>
        <w:rPr>
          <w:rFonts w:hint="eastAsia" w:ascii="宋体" w:hAnsi="宋体"/>
          <w:sz w:val="24"/>
          <w:szCs w:val="28"/>
        </w:rPr>
        <w:t>（2）获取磋商文件的方式：</w:t>
      </w:r>
    </w:p>
    <w:p w14:paraId="7C0CCA12">
      <w:pPr>
        <w:spacing w:line="360" w:lineRule="auto"/>
        <w:ind w:firstLine="480" w:firstLineChars="200"/>
        <w:rPr>
          <w:rFonts w:ascii="宋体" w:hAnsi="宋体" w:cs="Times New Roman"/>
          <w:sz w:val="24"/>
          <w:szCs w:val="28"/>
        </w:rPr>
      </w:pPr>
      <w:r>
        <w:rPr>
          <w:rFonts w:hint="eastAsia" w:ascii="宋体" w:hAnsi="宋体"/>
          <w:sz w:val="24"/>
          <w:szCs w:val="28"/>
        </w:rPr>
        <w:t>“苏采云”系统用户注册--获取“CA数字证书”--CA绑定与登录--网上报名--下载磋商文件(后缀名为.kedt”)。</w:t>
      </w:r>
    </w:p>
    <w:p w14:paraId="11B0FFB1">
      <w:pPr>
        <w:spacing w:line="360" w:lineRule="auto"/>
        <w:ind w:firstLine="480" w:firstLineChars="200"/>
        <w:rPr>
          <w:rFonts w:ascii="宋体" w:hAnsi="宋体"/>
          <w:sz w:val="24"/>
          <w:szCs w:val="28"/>
        </w:rPr>
      </w:pPr>
      <w:r>
        <w:rPr>
          <w:rFonts w:hint="eastAsia" w:ascii="宋体" w:hAnsi="宋体"/>
          <w:sz w:val="24"/>
          <w:szCs w:val="28"/>
        </w:rPr>
        <w:t>采购文件售价：</w:t>
      </w:r>
      <w:bookmarkStart w:id="11" w:name="EB263751bfbe2d462f84f54b87d73fe0c3"/>
      <w:r>
        <w:rPr>
          <w:rFonts w:hint="eastAsia" w:ascii="宋体" w:hAnsi="宋体"/>
          <w:sz w:val="24"/>
          <w:szCs w:val="28"/>
        </w:rPr>
        <w:t>免费</w:t>
      </w:r>
      <w:bookmarkEnd w:id="11"/>
    </w:p>
    <w:p w14:paraId="4E4DD32F">
      <w:pPr>
        <w:spacing w:line="360" w:lineRule="auto"/>
        <w:ind w:firstLine="480" w:firstLineChars="200"/>
        <w:rPr>
          <w:rFonts w:ascii="宋体" w:hAnsi="宋体" w:eastAsia="宋体" w:cs="宋体"/>
          <w:sz w:val="24"/>
        </w:rPr>
      </w:pPr>
      <w:r>
        <w:rPr>
          <w:rFonts w:hint="eastAsia" w:ascii="宋体" w:hAnsi="宋体" w:cs="Times New Roman"/>
          <w:sz w:val="24"/>
          <w:szCs w:val="28"/>
        </w:rPr>
        <w:t>采购代理机构将数据电文形式的磋商文件加载至电子招标投标交易平台，供潜在供应商下载或者查阅，</w:t>
      </w:r>
      <w:r>
        <w:rPr>
          <w:rFonts w:hint="eastAsia" w:ascii="宋体" w:hAnsi="宋体" w:cs="Times New Roman"/>
          <w:b/>
          <w:bCs/>
          <w:sz w:val="24"/>
          <w:szCs w:val="28"/>
        </w:rPr>
        <w:t>各投标人应在规定的时间内完成磋商文件的下载，逾期可能会造成磋商文件无法下载以及磋商响应文件无法上传的情形，由此导致的后果由各投标人自行承担。</w:t>
      </w:r>
    </w:p>
    <w:p w14:paraId="1AABA085">
      <w:pPr>
        <w:pStyle w:val="3"/>
        <w:spacing w:line="360" w:lineRule="auto"/>
        <w:jc w:val="left"/>
      </w:pPr>
      <w:bookmarkStart w:id="12" w:name="_Toc211511411"/>
      <w:r>
        <w:t>四、</w:t>
      </w:r>
      <w:r>
        <w:rPr>
          <w:rFonts w:hint="eastAsia"/>
        </w:rPr>
        <w:t>提交磋商响应文件截止时间、开标时间和地点</w:t>
      </w:r>
      <w:bookmarkEnd w:id="12"/>
    </w:p>
    <w:p w14:paraId="580AE988">
      <w:pPr>
        <w:spacing w:line="360" w:lineRule="auto"/>
        <w:ind w:firstLine="482" w:firstLineChars="200"/>
        <w:rPr>
          <w:rFonts w:ascii="宋体" w:hAnsi="宋体"/>
          <w:bCs/>
          <w:sz w:val="24"/>
          <w:szCs w:val="28"/>
        </w:rPr>
      </w:pPr>
      <w:r>
        <w:rPr>
          <w:rFonts w:hint="eastAsia" w:ascii="宋体" w:hAnsi="宋体"/>
          <w:b/>
          <w:sz w:val="24"/>
          <w:szCs w:val="28"/>
          <w:highlight w:val="none"/>
        </w:rPr>
        <w:t>提交截止时间及开标时间</w:t>
      </w:r>
      <w:r>
        <w:rPr>
          <w:rFonts w:hint="eastAsia" w:ascii="宋体" w:hAnsi="宋体"/>
          <w:bCs/>
          <w:sz w:val="24"/>
          <w:szCs w:val="28"/>
          <w:highlight w:val="none"/>
        </w:rPr>
        <w:t>：</w:t>
      </w:r>
      <w:bookmarkStart w:id="13" w:name="EB428f87493181411b9a39d0ec7414e136"/>
      <w:r>
        <w:rPr>
          <w:rFonts w:hint="eastAsia" w:ascii="宋体" w:hAnsi="宋体"/>
          <w:bCs/>
          <w:sz w:val="24"/>
          <w:szCs w:val="28"/>
          <w:highlight w:val="none"/>
        </w:rPr>
        <w:t>2025-1</w:t>
      </w:r>
      <w:r>
        <w:rPr>
          <w:rFonts w:hint="eastAsia" w:ascii="宋体" w:hAnsi="宋体"/>
          <w:bCs/>
          <w:sz w:val="24"/>
          <w:szCs w:val="28"/>
          <w:highlight w:val="none"/>
          <w:lang w:val="en-US" w:eastAsia="zh-CN"/>
        </w:rPr>
        <w:t>1</w:t>
      </w:r>
      <w:r>
        <w:rPr>
          <w:rFonts w:hint="eastAsia" w:ascii="宋体" w:hAnsi="宋体"/>
          <w:bCs/>
          <w:sz w:val="24"/>
          <w:szCs w:val="28"/>
          <w:highlight w:val="none"/>
        </w:rPr>
        <w:t>-</w:t>
      </w:r>
      <w:r>
        <w:rPr>
          <w:rFonts w:hint="eastAsia" w:ascii="宋体" w:hAnsi="宋体"/>
          <w:bCs/>
          <w:sz w:val="24"/>
          <w:szCs w:val="28"/>
          <w:highlight w:val="none"/>
          <w:lang w:val="en-US" w:eastAsia="zh-CN"/>
        </w:rPr>
        <w:t>25</w:t>
      </w:r>
      <w:r>
        <w:rPr>
          <w:rFonts w:hint="eastAsia" w:ascii="宋体" w:hAnsi="宋体"/>
          <w:bCs/>
          <w:sz w:val="24"/>
          <w:szCs w:val="28"/>
          <w:highlight w:val="none"/>
        </w:rPr>
        <w:t xml:space="preserve"> 09:30</w:t>
      </w:r>
      <w:bookmarkEnd w:id="13"/>
      <w:r>
        <w:rPr>
          <w:rFonts w:hint="eastAsia" w:ascii="宋体" w:hAnsi="宋体"/>
          <w:bCs/>
          <w:sz w:val="24"/>
          <w:szCs w:val="28"/>
          <w:highlight w:val="none"/>
        </w:rPr>
        <w:t>（北</w:t>
      </w:r>
      <w:r>
        <w:rPr>
          <w:rFonts w:hint="eastAsia" w:ascii="宋体" w:hAnsi="宋体"/>
          <w:bCs/>
          <w:sz w:val="24"/>
          <w:szCs w:val="28"/>
        </w:rPr>
        <w:t>京时间），在截止时间后送达及上传至“苏采云”系统的磋商响应文件为无效文件，将被拒收。</w:t>
      </w:r>
    </w:p>
    <w:p w14:paraId="35ADEEEF">
      <w:pPr>
        <w:spacing w:line="360" w:lineRule="auto"/>
        <w:ind w:firstLine="482" w:firstLineChars="200"/>
        <w:rPr>
          <w:rFonts w:ascii="宋体" w:hAnsi="宋体" w:cs="Times New Roman"/>
          <w:bCs/>
          <w:sz w:val="24"/>
          <w:szCs w:val="28"/>
        </w:rPr>
      </w:pPr>
      <w:r>
        <w:rPr>
          <w:rFonts w:hint="eastAsia" w:ascii="宋体" w:hAnsi="宋体" w:cs="Times New Roman"/>
          <w:b/>
          <w:sz w:val="24"/>
          <w:szCs w:val="28"/>
        </w:rPr>
        <w:t>提交首次磋商响应文件地点</w:t>
      </w:r>
      <w:r>
        <w:rPr>
          <w:rFonts w:hint="eastAsia" w:ascii="宋体" w:hAnsi="宋体" w:cs="Times New Roman"/>
          <w:bCs/>
          <w:sz w:val="24"/>
          <w:szCs w:val="28"/>
        </w:rPr>
        <w:t>：</w:t>
      </w:r>
    </w:p>
    <w:p w14:paraId="6CB40935">
      <w:pPr>
        <w:spacing w:line="360" w:lineRule="auto"/>
        <w:ind w:firstLine="480" w:firstLineChars="200"/>
        <w:rPr>
          <w:rFonts w:ascii="宋体" w:hAnsi="宋体" w:cs="Times New Roman"/>
          <w:bCs/>
          <w:sz w:val="24"/>
          <w:szCs w:val="28"/>
        </w:rPr>
      </w:pPr>
      <w:r>
        <w:rPr>
          <w:rFonts w:hint="eastAsia" w:ascii="宋体" w:hAnsi="宋体" w:cs="Times New Roman"/>
          <w:bCs/>
          <w:sz w:val="24"/>
          <w:szCs w:val="28"/>
        </w:rPr>
        <w:t>线上地点：将后缀名为“.kedt”的磋商响应文件导入政府采购客户端工具--制作磋商响应文件--导出加密的磋商响应文件(后缀名为zip) --通过“苏采云”系统上传磋商响应文件。具体详见《江苏省政府采购管理交易系统(苏采云)供应商操作指南》。</w:t>
      </w:r>
    </w:p>
    <w:p w14:paraId="51D233E8">
      <w:pPr>
        <w:spacing w:line="360" w:lineRule="auto"/>
        <w:ind w:firstLine="482" w:firstLineChars="200"/>
        <w:rPr>
          <w:rFonts w:ascii="宋体" w:hAnsi="宋体" w:cs="宋体"/>
          <w:sz w:val="24"/>
        </w:rPr>
      </w:pPr>
      <w:r>
        <w:rPr>
          <w:rFonts w:hint="eastAsia" w:ascii="宋体" w:hAnsi="宋体"/>
          <w:b/>
          <w:bCs/>
          <w:sz w:val="24"/>
          <w:szCs w:val="28"/>
        </w:rPr>
        <w:t>开标地点</w:t>
      </w:r>
      <w:r>
        <w:rPr>
          <w:rFonts w:hint="eastAsia" w:ascii="宋体" w:hAnsi="宋体"/>
          <w:sz w:val="24"/>
          <w:szCs w:val="28"/>
        </w:rPr>
        <w:t>：“苏采云”系统（网址：http://jszfcg.jsczt.cn/）“开标大厅”进入系统“开标大厅”。（</w:t>
      </w:r>
      <w:r>
        <w:rPr>
          <w:rFonts w:hint="eastAsia" w:ascii="宋体" w:hAnsi="宋体" w:eastAsia="宋体" w:cs="宋体"/>
          <w:sz w:val="24"/>
        </w:rPr>
        <w:t>苏采云系统使用</w:t>
      </w:r>
      <w:r>
        <w:rPr>
          <w:rFonts w:hint="eastAsia" w:ascii="宋体" w:hAnsi="宋体" w:cs="宋体"/>
          <w:sz w:val="24"/>
        </w:rPr>
        <w:t>稳定</w:t>
      </w:r>
      <w:r>
        <w:rPr>
          <w:rFonts w:hint="eastAsia" w:ascii="宋体" w:hAnsi="宋体" w:eastAsia="宋体" w:cs="宋体"/>
          <w:sz w:val="24"/>
        </w:rPr>
        <w:t>谷歌浏览器</w:t>
      </w:r>
      <w:r>
        <w:rPr>
          <w:rFonts w:hint="eastAsia" w:ascii="宋体" w:hAnsi="宋体" w:cs="宋体"/>
          <w:sz w:val="24"/>
        </w:rPr>
        <w:t>（100版本以下）或360安全浏览器（极速模式）</w:t>
      </w:r>
      <w:r>
        <w:rPr>
          <w:rFonts w:hint="eastAsia" w:ascii="宋体" w:hAnsi="宋体" w:eastAsia="宋体" w:cs="宋体"/>
          <w:sz w:val="24"/>
        </w:rPr>
        <w:t>参与不见面开标</w:t>
      </w:r>
      <w:r>
        <w:rPr>
          <w:rFonts w:hint="eastAsia" w:ascii="宋体" w:hAnsi="宋体" w:cs="宋体"/>
          <w:sz w:val="24"/>
        </w:rPr>
        <w:t>。）</w:t>
      </w:r>
    </w:p>
    <w:p w14:paraId="081E3CA7">
      <w:pPr>
        <w:spacing w:line="360" w:lineRule="auto"/>
        <w:ind w:firstLine="480" w:firstLineChars="200"/>
        <w:rPr>
          <w:rFonts w:ascii="宋体" w:hAnsi="宋体" w:eastAsia="宋体" w:cs="宋体"/>
          <w:sz w:val="24"/>
        </w:rPr>
      </w:pPr>
      <w:r>
        <w:rPr>
          <w:rFonts w:hint="eastAsia" w:ascii="宋体" w:hAnsi="宋体" w:eastAsia="宋体" w:cs="宋体"/>
          <w:sz w:val="24"/>
        </w:rPr>
        <w:t>本项目采用</w:t>
      </w:r>
      <w:r>
        <w:rPr>
          <w:rFonts w:hint="eastAsia" w:ascii="宋体" w:hAnsi="宋体" w:eastAsia="宋体" w:cs="宋体"/>
          <w:b/>
          <w:bCs/>
          <w:sz w:val="24"/>
        </w:rPr>
        <w:t>远程不见面交易</w:t>
      </w:r>
      <w:r>
        <w:rPr>
          <w:rFonts w:hint="eastAsia" w:ascii="宋体" w:hAnsi="宋体" w:eastAsia="宋体" w:cs="宋体"/>
          <w:sz w:val="24"/>
        </w:rPr>
        <w:t>模式，通过不见面交易系统及相应的配套硬件设备（摄像头、话筒、麦克风等）完成远程解密、开标现场异议及回复、开标唱标等交互环节。</w:t>
      </w:r>
    </w:p>
    <w:p w14:paraId="0B097F54">
      <w:pPr>
        <w:spacing w:line="360" w:lineRule="auto"/>
        <w:ind w:firstLine="480" w:firstLineChars="200"/>
        <w:rPr>
          <w:sz w:val="24"/>
        </w:rPr>
      </w:pPr>
      <w:r>
        <w:rPr>
          <w:rFonts w:hint="eastAsia"/>
          <w:sz w:val="24"/>
        </w:rPr>
        <w:t>不见面交易相关要求和说明如下：</w:t>
      </w:r>
    </w:p>
    <w:p w14:paraId="066676E3">
      <w:pPr>
        <w:spacing w:line="360" w:lineRule="auto"/>
        <w:ind w:firstLine="480" w:firstLineChars="200"/>
        <w:rPr>
          <w:sz w:val="24"/>
        </w:rPr>
      </w:pPr>
      <w:r>
        <w:rPr>
          <w:rFonts w:hint="eastAsia"/>
          <w:sz w:val="24"/>
        </w:rPr>
        <w:t>（1）不见面开标项目的时间均以国家授时中心发布的时间为准；</w:t>
      </w:r>
    </w:p>
    <w:p w14:paraId="23EB8CE0">
      <w:pPr>
        <w:spacing w:line="360" w:lineRule="auto"/>
        <w:ind w:firstLine="480" w:firstLineChars="200"/>
        <w:rPr>
          <w:sz w:val="24"/>
        </w:rPr>
      </w:pPr>
      <w:r>
        <w:rPr>
          <w:rFonts w:hint="eastAsia"/>
          <w:sz w:val="24"/>
        </w:rPr>
        <w:t>（2）开标当日，投标人不必抵达开标现场，仅需在任意地点通过“苏采云”系统（网址：http://jszfcg.jsczt.cn/）“开标大厅”进入系统“开标大厅”参与开标过程；</w:t>
      </w:r>
    </w:p>
    <w:p w14:paraId="1E883FE0">
      <w:pPr>
        <w:spacing w:line="360" w:lineRule="auto"/>
        <w:ind w:firstLine="480" w:firstLineChars="200"/>
        <w:rPr>
          <w:sz w:val="24"/>
        </w:rPr>
      </w:pPr>
      <w:r>
        <w:rPr>
          <w:rFonts w:hint="eastAsia"/>
          <w:sz w:val="24"/>
        </w:rPr>
        <w:t>（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p>
    <w:p w14:paraId="6C072753">
      <w:pPr>
        <w:spacing w:line="360" w:lineRule="auto"/>
        <w:ind w:firstLine="480" w:firstLineChars="200"/>
        <w:rPr>
          <w:sz w:val="24"/>
        </w:rPr>
      </w:pPr>
      <w:r>
        <w:rPr>
          <w:rFonts w:hint="eastAsia"/>
          <w:sz w:val="24"/>
        </w:rPr>
        <w:t>（4）磋商响应文件递交截止时间后，采购人或采购代理机构将在系统内公布投标人名单然后通过开标会议区发出磋商响应文件解密的指令，投标人在各自地点按规定时间自行实施远程解密，投标人解密限定在投标截止时间后30分钟之间完成。因投标人网络与电源不稳定、未按操作手册要求配置软硬件、解密锁发生故障或用错、故意不在要求时限内完成解密等自身原因，导致磋商响应文件在规定时间内未能解密、解密失败或解密超时，视为投标人撤销其磋商响应文件；因网上平台发生故障，导致无法按时完成磋商响应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p>
    <w:p w14:paraId="697C88C5">
      <w:pPr>
        <w:spacing w:line="360" w:lineRule="auto"/>
        <w:ind w:firstLine="480" w:firstLineChars="200"/>
        <w:rPr>
          <w:sz w:val="24"/>
        </w:rPr>
      </w:pPr>
      <w:r>
        <w:rPr>
          <w:rFonts w:hint="eastAsia"/>
          <w:sz w:val="24"/>
        </w:rPr>
        <w:t>（5）因投标人自身软硬件配备不齐全或发生故障等问题而导致在交互过程中出现不稳定或中断等情况的，由投标人自身承担一切后果。</w:t>
      </w:r>
    </w:p>
    <w:p w14:paraId="6997E3E0">
      <w:pPr>
        <w:pStyle w:val="3"/>
        <w:spacing w:line="360" w:lineRule="auto"/>
        <w:jc w:val="left"/>
      </w:pPr>
      <w:bookmarkStart w:id="14" w:name="_Toc211511412"/>
      <w:r>
        <w:rPr>
          <w:rFonts w:hint="eastAsia"/>
        </w:rPr>
        <w:t>五</w:t>
      </w:r>
      <w:r>
        <w:t>、公告期限</w:t>
      </w:r>
      <w:bookmarkEnd w:id="14"/>
    </w:p>
    <w:p w14:paraId="030E0150">
      <w:pPr>
        <w:spacing w:line="360" w:lineRule="auto"/>
        <w:ind w:firstLine="480" w:firstLineChars="200"/>
        <w:rPr>
          <w:rFonts w:ascii="宋体" w:hAnsi="宋体" w:eastAsia="宋体" w:cs="宋体"/>
          <w:sz w:val="24"/>
        </w:rPr>
      </w:pPr>
      <w:r>
        <w:rPr>
          <w:rFonts w:ascii="宋体" w:hAnsi="宋体" w:eastAsia="宋体" w:cs="宋体"/>
          <w:sz w:val="24"/>
        </w:rPr>
        <w:t>自本公告发布之日起3个工作日。</w:t>
      </w:r>
    </w:p>
    <w:p w14:paraId="4B5513FB">
      <w:pPr>
        <w:pStyle w:val="3"/>
        <w:spacing w:line="360" w:lineRule="auto"/>
        <w:jc w:val="left"/>
      </w:pPr>
      <w:bookmarkStart w:id="15" w:name="_Toc211511413"/>
      <w:r>
        <w:rPr>
          <w:rFonts w:hint="eastAsia"/>
        </w:rPr>
        <w:t>六</w:t>
      </w:r>
      <w:r>
        <w:t>、其他补充事宜</w:t>
      </w:r>
      <w:bookmarkEnd w:id="15"/>
    </w:p>
    <w:p w14:paraId="19EC6DB0">
      <w:pPr>
        <w:spacing w:line="360" w:lineRule="auto"/>
        <w:ind w:firstLine="480" w:firstLineChars="200"/>
        <w:rPr>
          <w:rFonts w:ascii="宋体" w:hAnsi="宋体" w:eastAsia="宋体" w:cs="宋体"/>
          <w:sz w:val="24"/>
        </w:rPr>
      </w:pPr>
      <w:r>
        <w:rPr>
          <w:rFonts w:ascii="宋体" w:hAnsi="宋体" w:eastAsia="宋体" w:cs="宋体"/>
          <w:sz w:val="24"/>
        </w:rPr>
        <w:t>1、现场踏勘：采购人不统一组织现场查勘和答疑，供应商可自行联系采购人查勘</w:t>
      </w:r>
    </w:p>
    <w:p w14:paraId="1E38B9D4">
      <w:pPr>
        <w:spacing w:line="360" w:lineRule="auto"/>
        <w:rPr>
          <w:rFonts w:ascii="宋体" w:hAnsi="宋体" w:eastAsia="宋体" w:cs="宋体"/>
          <w:sz w:val="24"/>
        </w:rPr>
      </w:pPr>
      <w:r>
        <w:rPr>
          <w:rFonts w:ascii="宋体" w:hAnsi="宋体" w:eastAsia="宋体" w:cs="宋体"/>
          <w:sz w:val="24"/>
        </w:rPr>
        <w:t>和答疑。</w:t>
      </w:r>
    </w:p>
    <w:p w14:paraId="013DB909">
      <w:pPr>
        <w:spacing w:line="360" w:lineRule="auto"/>
        <w:ind w:firstLine="480" w:firstLineChars="200"/>
        <w:rPr>
          <w:rFonts w:ascii="宋体" w:hAnsi="宋体" w:eastAsia="宋体" w:cs="宋体"/>
          <w:sz w:val="24"/>
        </w:rPr>
      </w:pPr>
      <w:r>
        <w:rPr>
          <w:rFonts w:hint="eastAsia" w:ascii="宋体" w:hAnsi="宋体" w:eastAsia="宋体" w:cs="宋体"/>
          <w:sz w:val="24"/>
        </w:rPr>
        <w:t>2、</w:t>
      </w:r>
      <w:r>
        <w:rPr>
          <w:rFonts w:ascii="宋体" w:hAnsi="宋体" w:eastAsia="宋体" w:cs="宋体"/>
          <w:sz w:val="24"/>
        </w:rPr>
        <w:t>本项目无需缴纳磋商保证金。</w:t>
      </w:r>
    </w:p>
    <w:p w14:paraId="37F03888">
      <w:pPr>
        <w:spacing w:line="360" w:lineRule="auto"/>
        <w:ind w:firstLine="480" w:firstLineChars="200"/>
        <w:rPr>
          <w:rFonts w:ascii="宋体" w:hAnsi="宋体" w:eastAsia="宋体" w:cs="宋体"/>
          <w:sz w:val="24"/>
        </w:rPr>
      </w:pPr>
      <w:r>
        <w:rPr>
          <w:rFonts w:hint="eastAsia" w:ascii="宋体" w:hAnsi="宋体" w:eastAsia="宋体" w:cs="宋体"/>
          <w:sz w:val="24"/>
        </w:rPr>
        <w:t>3、</w:t>
      </w:r>
      <w:r>
        <w:rPr>
          <w:rFonts w:ascii="宋体" w:hAnsi="宋体" w:eastAsia="宋体" w:cs="宋体"/>
          <w:sz w:val="24"/>
        </w:rPr>
        <w:t>项目支持和适用支持中小微企业（工信部联企业[2011]300 号）、财库</w:t>
      </w:r>
      <w:r>
        <w:rPr>
          <w:rFonts w:hint="eastAsia" w:ascii="宋体" w:hAnsi="宋体" w:eastAsia="宋体" w:cs="宋体"/>
          <w:sz w:val="24"/>
        </w:rPr>
        <w:t>[</w:t>
      </w:r>
      <w:r>
        <w:rPr>
          <w:rFonts w:ascii="宋体" w:hAnsi="宋体" w:eastAsia="宋体" w:cs="宋体"/>
          <w:sz w:val="24"/>
        </w:rPr>
        <w:t>2020</w:t>
      </w:r>
      <w:r>
        <w:rPr>
          <w:rFonts w:hint="eastAsia" w:ascii="宋体" w:hAnsi="宋体" w:eastAsia="宋体" w:cs="宋体"/>
          <w:sz w:val="24"/>
        </w:rPr>
        <w:t>]</w:t>
      </w:r>
      <w:r>
        <w:rPr>
          <w:rFonts w:ascii="宋体" w:hAnsi="宋体" w:eastAsia="宋体" w:cs="宋体"/>
          <w:sz w:val="24"/>
        </w:rPr>
        <w:t>46 号、苏财购</w:t>
      </w:r>
      <w:r>
        <w:rPr>
          <w:rFonts w:hint="eastAsia" w:ascii="宋体" w:hAnsi="宋体" w:eastAsia="宋体" w:cs="宋体"/>
          <w:sz w:val="24"/>
        </w:rPr>
        <w:t>[</w:t>
      </w:r>
      <w:r>
        <w:rPr>
          <w:rFonts w:ascii="宋体" w:hAnsi="宋体" w:eastAsia="宋体" w:cs="宋体"/>
          <w:sz w:val="24"/>
        </w:rPr>
        <w:t>2021</w:t>
      </w:r>
      <w:r>
        <w:rPr>
          <w:rFonts w:hint="eastAsia" w:ascii="宋体" w:hAnsi="宋体" w:eastAsia="宋体" w:cs="宋体"/>
          <w:sz w:val="24"/>
        </w:rPr>
        <w:t>]</w:t>
      </w:r>
      <w:r>
        <w:rPr>
          <w:rFonts w:ascii="宋体" w:hAnsi="宋体" w:eastAsia="宋体" w:cs="宋体"/>
          <w:sz w:val="24"/>
        </w:rPr>
        <w:t>34 号；支持监狱企业（财库〔2014〕68 号）；促进残疾人就业（财库〔2017〕141 号）的政策。</w:t>
      </w:r>
    </w:p>
    <w:p w14:paraId="15B57DF8">
      <w:pPr>
        <w:spacing w:line="360" w:lineRule="auto"/>
        <w:ind w:firstLine="480"/>
        <w:rPr>
          <w:rFonts w:ascii="宋体" w:hAnsi="宋体"/>
          <w:sz w:val="24"/>
          <w:szCs w:val="28"/>
        </w:rPr>
      </w:pPr>
      <w:r>
        <w:rPr>
          <w:rFonts w:hint="eastAsia" w:ascii="宋体" w:hAnsi="宋体" w:cs="宋体"/>
          <w:sz w:val="24"/>
        </w:rPr>
        <w:t>4.</w:t>
      </w:r>
      <w:r>
        <w:rPr>
          <w:rFonts w:hint="eastAsia" w:ascii="宋体" w:hAnsi="宋体"/>
          <w:sz w:val="24"/>
          <w:szCs w:val="28"/>
        </w:rPr>
        <w:t>“CA数字证书”的获取</w:t>
      </w:r>
    </w:p>
    <w:p w14:paraId="6EAE59C0">
      <w:pPr>
        <w:spacing w:line="360" w:lineRule="auto"/>
        <w:ind w:firstLine="480" w:firstLineChars="200"/>
        <w:rPr>
          <w:rFonts w:ascii="宋体" w:hAnsi="宋体" w:eastAsia="宋体" w:cs="宋体"/>
          <w:sz w:val="24"/>
        </w:rPr>
      </w:pPr>
      <w:r>
        <w:rPr>
          <w:rFonts w:hint="eastAsia" w:ascii="宋体" w:hAnsi="宋体" w:eastAsia="宋体" w:cs="宋体"/>
          <w:sz w:val="24"/>
        </w:rPr>
        <w:t>投标人需办理CA锁，“苏采云”系统目前仅支持“苏采云”系统下的政务CA（意源CA）、方正签章，省内各地区办理的“苏采云”系统下的政务CA（意源CA）、方正签章全省通用。（办理指南网址：</w:t>
      </w:r>
      <w:r>
        <w:fldChar w:fldCharType="begin"/>
      </w:r>
      <w:r>
        <w:instrText xml:space="preserve"> HYPERLINK "http://jsxcmm.com/help/help.html" </w:instrText>
      </w:r>
      <w:r>
        <w:fldChar w:fldCharType="separate"/>
      </w:r>
      <w:r>
        <w:rPr>
          <w:rFonts w:ascii="宋体" w:hAnsi="宋体" w:eastAsia="宋体" w:cs="宋体"/>
          <w:sz w:val="24"/>
        </w:rPr>
        <w:t>http://jsxcmm.com/help/help.html</w:t>
      </w:r>
      <w:r>
        <w:rPr>
          <w:rFonts w:ascii="宋体" w:hAnsi="宋体" w:eastAsia="宋体" w:cs="宋体"/>
          <w:sz w:val="24"/>
        </w:rPr>
        <w:fldChar w:fldCharType="end"/>
      </w:r>
      <w:r>
        <w:rPr>
          <w:rFonts w:hint="eastAsia" w:ascii="宋体" w:hAnsi="宋体" w:eastAsia="宋体" w:cs="宋体"/>
          <w:sz w:val="24"/>
        </w:rPr>
        <w:t>）</w:t>
      </w:r>
    </w:p>
    <w:p w14:paraId="31B5FF9B">
      <w:pPr>
        <w:spacing w:line="360" w:lineRule="auto"/>
        <w:ind w:firstLine="480" w:firstLineChars="200"/>
        <w:rPr>
          <w:rFonts w:ascii="宋体" w:hAnsi="宋体" w:eastAsia="宋体" w:cs="宋体"/>
          <w:sz w:val="24"/>
        </w:rPr>
      </w:pPr>
      <w:r>
        <w:rPr>
          <w:rFonts w:hint="eastAsia" w:ascii="宋体" w:hAnsi="宋体" w:eastAsia="宋体" w:cs="宋体"/>
          <w:sz w:val="24"/>
        </w:rPr>
        <w:t>“苏采云”系统供应商操作指南详见江苏省政府采购网—办事指南—资料下载《江苏省政府采购管理交易系统 (苏采云)供应商操作指南》。</w:t>
      </w:r>
    </w:p>
    <w:p w14:paraId="2E1BA3AB">
      <w:pPr>
        <w:pStyle w:val="3"/>
        <w:spacing w:line="360" w:lineRule="auto"/>
        <w:jc w:val="left"/>
      </w:pPr>
      <w:bookmarkStart w:id="16" w:name="_Toc211511414"/>
      <w:r>
        <w:rPr>
          <w:rFonts w:hint="eastAsia"/>
        </w:rPr>
        <w:t>七</w:t>
      </w:r>
      <w:r>
        <w:t>、对本次磋商提出询问，请按以下方式联系。</w:t>
      </w:r>
      <w:bookmarkEnd w:id="16"/>
    </w:p>
    <w:p w14:paraId="7562A019">
      <w:pPr>
        <w:spacing w:line="360" w:lineRule="auto"/>
        <w:ind w:firstLine="480" w:firstLineChars="200"/>
        <w:outlineLvl w:val="2"/>
        <w:rPr>
          <w:rFonts w:ascii="宋体" w:hAnsi="宋体" w:eastAsia="宋体" w:cs="宋体"/>
          <w:sz w:val="24"/>
        </w:rPr>
      </w:pPr>
      <w:bookmarkStart w:id="17" w:name="_Toc211511415"/>
      <w:r>
        <w:rPr>
          <w:rFonts w:ascii="宋体" w:hAnsi="宋体" w:eastAsia="宋体" w:cs="宋体"/>
          <w:sz w:val="24"/>
        </w:rPr>
        <w:t>1.采购人信息</w:t>
      </w:r>
      <w:bookmarkEnd w:id="17"/>
    </w:p>
    <w:p w14:paraId="63A4DC23">
      <w:pPr>
        <w:spacing w:line="360" w:lineRule="auto"/>
        <w:ind w:firstLine="480" w:firstLineChars="200"/>
        <w:rPr>
          <w:rFonts w:ascii="宋体" w:hAnsi="宋体" w:eastAsia="宋体" w:cs="宋体"/>
          <w:sz w:val="24"/>
        </w:rPr>
      </w:pPr>
      <w:r>
        <w:rPr>
          <w:rFonts w:hint="eastAsia" w:ascii="宋体" w:hAnsi="宋体" w:eastAsia="宋体" w:cs="宋体"/>
          <w:sz w:val="24"/>
        </w:rPr>
        <w:t>名 称：镇江市丹徒区住房和城乡建设局</w:t>
      </w:r>
    </w:p>
    <w:p w14:paraId="469E0AB3">
      <w:pPr>
        <w:spacing w:line="360" w:lineRule="auto"/>
        <w:ind w:firstLine="480" w:firstLineChars="200"/>
        <w:rPr>
          <w:rFonts w:ascii="宋体" w:hAnsi="宋体" w:eastAsia="宋体" w:cs="宋体"/>
          <w:sz w:val="24"/>
        </w:rPr>
      </w:pPr>
      <w:r>
        <w:rPr>
          <w:rFonts w:hint="eastAsia" w:ascii="宋体" w:hAnsi="宋体" w:eastAsia="宋体" w:cs="宋体"/>
          <w:sz w:val="24"/>
        </w:rPr>
        <w:t>地 址：镇江市丹徒区金谷东路5号三</w:t>
      </w:r>
      <w:r>
        <w:rPr>
          <w:rFonts w:ascii="宋体" w:hAnsi="宋体" w:eastAsia="宋体" w:cs="宋体"/>
          <w:sz w:val="24"/>
        </w:rPr>
        <w:t>楼</w:t>
      </w:r>
    </w:p>
    <w:p w14:paraId="126B332B">
      <w:pPr>
        <w:spacing w:line="360" w:lineRule="auto"/>
        <w:ind w:firstLine="480" w:firstLineChars="200"/>
        <w:rPr>
          <w:rFonts w:ascii="宋体" w:hAnsi="宋体" w:eastAsia="宋体" w:cs="宋体"/>
          <w:sz w:val="24"/>
        </w:rPr>
      </w:pPr>
      <w:r>
        <w:rPr>
          <w:rFonts w:hint="eastAsia" w:ascii="宋体" w:hAnsi="宋体" w:eastAsia="宋体" w:cs="宋体"/>
          <w:sz w:val="24"/>
        </w:rPr>
        <w:t xml:space="preserve">联系方式： 林涛    0511-88991955、15896357022   </w:t>
      </w:r>
    </w:p>
    <w:p w14:paraId="6FC2E166">
      <w:pPr>
        <w:spacing w:line="360" w:lineRule="auto"/>
        <w:ind w:firstLine="480" w:firstLineChars="200"/>
        <w:rPr>
          <w:rFonts w:ascii="宋体" w:hAnsi="宋体" w:eastAsia="宋体" w:cs="宋体"/>
          <w:sz w:val="24"/>
        </w:rPr>
      </w:pPr>
      <w:r>
        <w:rPr>
          <w:rFonts w:ascii="宋体" w:hAnsi="宋体" w:eastAsia="宋体" w:cs="宋体"/>
          <w:sz w:val="24"/>
        </w:rPr>
        <w:t>2.采购代理机构信息</w:t>
      </w:r>
    </w:p>
    <w:p w14:paraId="410EA0EA">
      <w:pPr>
        <w:spacing w:line="360" w:lineRule="auto"/>
        <w:ind w:firstLine="480" w:firstLineChars="200"/>
        <w:rPr>
          <w:rFonts w:hint="eastAsia" w:ascii="宋体" w:hAnsi="宋体" w:eastAsia="宋体" w:cs="宋体"/>
          <w:sz w:val="24"/>
          <w:lang w:eastAsia="zh-CN"/>
        </w:rPr>
      </w:pPr>
      <w:r>
        <w:rPr>
          <w:rFonts w:ascii="宋体" w:hAnsi="宋体" w:eastAsia="宋体" w:cs="宋体"/>
          <w:sz w:val="24"/>
        </w:rPr>
        <w:t>名称：</w:t>
      </w:r>
      <w:r>
        <w:rPr>
          <w:rFonts w:hint="eastAsia" w:ascii="宋体" w:hAnsi="宋体" w:eastAsia="宋体" w:cs="宋体"/>
          <w:sz w:val="24"/>
          <w:lang w:eastAsia="zh-CN"/>
        </w:rPr>
        <w:t>江苏顺天工程项目管理咨询有限公司</w:t>
      </w:r>
    </w:p>
    <w:p w14:paraId="23702509">
      <w:pPr>
        <w:spacing w:line="360" w:lineRule="auto"/>
        <w:ind w:firstLine="480" w:firstLineChars="200"/>
        <w:rPr>
          <w:rFonts w:hint="eastAsia" w:ascii="宋体" w:hAnsi="宋体" w:eastAsia="宋体" w:cs="宋体"/>
          <w:sz w:val="24"/>
          <w:lang w:eastAsia="zh-CN"/>
        </w:rPr>
      </w:pPr>
      <w:r>
        <w:rPr>
          <w:rFonts w:ascii="宋体" w:hAnsi="宋体" w:eastAsia="宋体" w:cs="宋体"/>
          <w:sz w:val="24"/>
        </w:rPr>
        <w:t>地址：</w:t>
      </w:r>
      <w:r>
        <w:rPr>
          <w:rFonts w:hint="eastAsia" w:ascii="宋体" w:hAnsi="宋体" w:eastAsia="宋体" w:cs="宋体"/>
          <w:sz w:val="24"/>
          <w:lang w:eastAsia="zh-CN"/>
        </w:rPr>
        <w:t>镇江市京口区谷阳路88号东郡华庭16幢6层</w:t>
      </w:r>
    </w:p>
    <w:p w14:paraId="2A27A696">
      <w:pPr>
        <w:pStyle w:val="23"/>
        <w:shd w:val="clear" w:color="auto" w:fill="FFFFFF"/>
        <w:spacing w:line="460" w:lineRule="atLeast"/>
        <w:ind w:firstLine="480" w:firstLineChars="200"/>
        <w:rPr>
          <w:rFonts w:ascii="宋体" w:hAnsi="宋体" w:eastAsia="宋体" w:cs="宋体"/>
        </w:rPr>
      </w:pPr>
      <w:r>
        <w:rPr>
          <w:rFonts w:ascii="宋体" w:hAnsi="宋体" w:eastAsia="宋体" w:cs="宋体"/>
        </w:rPr>
        <w:t>联系方式：</w:t>
      </w:r>
      <w:r>
        <w:rPr>
          <w:rFonts w:hint="eastAsia" w:ascii="宋体" w:hAnsi="宋体" w:eastAsia="宋体" w:cs="宋体"/>
          <w:lang w:val="en-US" w:eastAsia="zh-CN"/>
        </w:rPr>
        <w:t>张工</w:t>
      </w:r>
      <w:r>
        <w:rPr>
          <w:rFonts w:hint="eastAsia" w:ascii="宋体" w:hAnsi="宋体" w:eastAsia="宋体" w:cs="宋体"/>
          <w:kern w:val="2"/>
          <w:sz w:val="24"/>
          <w:szCs w:val="24"/>
          <w:lang w:val="en-US" w:eastAsia="zh-CN" w:bidi="ar-SA"/>
        </w:rPr>
        <w:t xml:space="preserve"> 15240298867</w:t>
      </w:r>
    </w:p>
    <w:p w14:paraId="43ED3A8F">
      <w:pPr>
        <w:spacing w:line="360" w:lineRule="auto"/>
        <w:ind w:firstLine="480" w:firstLineChars="200"/>
        <w:rPr>
          <w:rFonts w:ascii="宋体" w:hAnsi="宋体" w:eastAsia="宋体" w:cs="宋体"/>
          <w:sz w:val="24"/>
        </w:rPr>
      </w:pPr>
      <w:r>
        <w:rPr>
          <w:rFonts w:ascii="宋体" w:hAnsi="宋体" w:eastAsia="宋体" w:cs="宋体"/>
          <w:sz w:val="24"/>
        </w:rPr>
        <w:t>3.项目联系方式</w:t>
      </w:r>
    </w:p>
    <w:p w14:paraId="7EEC6327">
      <w:pPr>
        <w:spacing w:line="360" w:lineRule="auto"/>
        <w:ind w:firstLine="480" w:firstLineChars="200"/>
        <w:rPr>
          <w:rFonts w:ascii="宋体" w:hAnsi="宋体" w:eastAsia="宋体" w:cs="宋体"/>
          <w:sz w:val="24"/>
        </w:rPr>
      </w:pPr>
      <w:r>
        <w:rPr>
          <w:rFonts w:ascii="宋体" w:hAnsi="宋体" w:eastAsia="宋体" w:cs="宋体"/>
          <w:sz w:val="24"/>
        </w:rPr>
        <w:t>项目联系人：</w:t>
      </w:r>
      <w:r>
        <w:rPr>
          <w:rFonts w:hint="eastAsia" w:ascii="宋体" w:hAnsi="宋体" w:eastAsia="宋体" w:cs="宋体"/>
          <w:lang w:val="en-US" w:eastAsia="zh-CN"/>
        </w:rPr>
        <w:t>张工</w:t>
      </w:r>
    </w:p>
    <w:p w14:paraId="4DA4BBE3">
      <w:pPr>
        <w:spacing w:line="360" w:lineRule="auto"/>
        <w:ind w:firstLine="480" w:firstLineChars="200"/>
        <w:rPr>
          <w:rFonts w:hint="eastAsia" w:ascii="宋体" w:hAnsi="宋体" w:eastAsia="宋体" w:cs="宋体"/>
          <w:sz w:val="24"/>
          <w:lang w:eastAsia="zh-CN"/>
        </w:rPr>
      </w:pPr>
      <w:r>
        <w:rPr>
          <w:rFonts w:ascii="宋体" w:hAnsi="宋体" w:eastAsia="宋体" w:cs="宋体"/>
          <w:sz w:val="24"/>
        </w:rPr>
        <w:t>电话：</w:t>
      </w:r>
      <w:r>
        <w:rPr>
          <w:rFonts w:hint="eastAsia" w:ascii="宋体" w:hAnsi="宋体" w:eastAsia="宋体" w:cs="宋体"/>
          <w:sz w:val="24"/>
          <w:lang w:eastAsia="zh-CN"/>
        </w:rPr>
        <w:t>15240298867</w:t>
      </w:r>
    </w:p>
    <w:bookmarkEnd w:id="3"/>
    <w:p w14:paraId="43C8E2E2">
      <w:r>
        <w:rPr>
          <w:rFonts w:hint="eastAsia"/>
        </w:rPr>
        <w:br w:type="page"/>
      </w:r>
    </w:p>
    <w:p w14:paraId="0CB4D5C4">
      <w:pPr>
        <w:pStyle w:val="2"/>
        <w:spacing w:line="360" w:lineRule="auto"/>
        <w:jc w:val="center"/>
      </w:pPr>
      <w:bookmarkStart w:id="18" w:name="_Toc211511416"/>
      <w:r>
        <w:rPr>
          <w:rFonts w:hint="eastAsia"/>
        </w:rPr>
        <w:t>第二部分供应商须知</w:t>
      </w:r>
      <w:bookmarkEnd w:id="18"/>
    </w:p>
    <w:p w14:paraId="107975A1">
      <w:pPr>
        <w:pStyle w:val="3"/>
        <w:spacing w:before="405" w:beforeLines="130" w:after="405" w:afterLines="130" w:line="360" w:lineRule="auto"/>
        <w:jc w:val="center"/>
      </w:pPr>
      <w:bookmarkStart w:id="19" w:name="_Toc211511417"/>
      <w:r>
        <w:t>一、总则</w:t>
      </w:r>
      <w:bookmarkEnd w:id="19"/>
    </w:p>
    <w:p w14:paraId="1EA26886">
      <w:pPr>
        <w:pStyle w:val="4"/>
        <w:spacing w:line="360" w:lineRule="auto"/>
      </w:pPr>
      <w:bookmarkStart w:id="20" w:name="_Toc211511418"/>
      <w:r>
        <w:t>1.适用范围</w:t>
      </w:r>
      <w:bookmarkEnd w:id="20"/>
    </w:p>
    <w:p w14:paraId="579097A6">
      <w:pPr>
        <w:spacing w:line="360" w:lineRule="auto"/>
        <w:ind w:firstLine="480" w:firstLineChars="200"/>
        <w:jc w:val="left"/>
        <w:rPr>
          <w:rFonts w:ascii="宋体" w:hAnsi="宋体" w:eastAsia="宋体" w:cs="宋体"/>
          <w:sz w:val="24"/>
        </w:rPr>
      </w:pPr>
      <w:r>
        <w:rPr>
          <w:rFonts w:ascii="宋体" w:hAnsi="宋体" w:eastAsia="宋体" w:cs="宋体"/>
          <w:sz w:val="24"/>
        </w:rPr>
        <w:t>1.1本磋商文件仅适用于</w:t>
      </w:r>
      <w:r>
        <w:rPr>
          <w:rFonts w:hint="eastAsia" w:ascii="Times New Roman" w:hAnsi="Times New Roman" w:eastAsia="宋体" w:cs="Times New Roman"/>
          <w:sz w:val="24"/>
          <w:lang w:eastAsia="zh-CN"/>
        </w:rPr>
        <w:t>丹徒区站岗沟行洪通道建设项目工程监理项目</w:t>
      </w:r>
      <w:r>
        <w:rPr>
          <w:rFonts w:ascii="宋体" w:hAnsi="宋体" w:eastAsia="宋体" w:cs="宋体"/>
          <w:sz w:val="24"/>
        </w:rPr>
        <w:t>项目。</w:t>
      </w:r>
    </w:p>
    <w:p w14:paraId="61169345">
      <w:pPr>
        <w:spacing w:line="360" w:lineRule="auto"/>
        <w:jc w:val="left"/>
        <w:rPr>
          <w:rFonts w:ascii="宋体" w:hAnsi="宋体" w:eastAsia="宋体" w:cs="宋体"/>
          <w:sz w:val="24"/>
        </w:rPr>
      </w:pPr>
    </w:p>
    <w:p w14:paraId="3A1CA159">
      <w:pPr>
        <w:pStyle w:val="4"/>
        <w:spacing w:line="360" w:lineRule="auto"/>
      </w:pPr>
      <w:bookmarkStart w:id="21" w:name="_Toc211511419"/>
      <w:r>
        <w:t>2.定义</w:t>
      </w:r>
      <w:bookmarkEnd w:id="21"/>
    </w:p>
    <w:p w14:paraId="7766A0A8">
      <w:pPr>
        <w:spacing w:line="360" w:lineRule="auto"/>
        <w:jc w:val="left"/>
        <w:rPr>
          <w:rFonts w:ascii="宋体" w:hAnsi="宋体" w:eastAsia="宋体" w:cs="宋体"/>
          <w:sz w:val="24"/>
        </w:rPr>
      </w:pPr>
    </w:p>
    <w:p w14:paraId="372E3841">
      <w:pPr>
        <w:spacing w:line="360" w:lineRule="auto"/>
        <w:ind w:firstLine="480" w:firstLineChars="200"/>
        <w:jc w:val="left"/>
        <w:rPr>
          <w:rFonts w:ascii="宋体" w:hAnsi="宋体" w:eastAsia="宋体" w:cs="宋体"/>
          <w:sz w:val="24"/>
        </w:rPr>
      </w:pPr>
      <w:r>
        <w:rPr>
          <w:rFonts w:ascii="宋体" w:hAnsi="宋体" w:eastAsia="宋体" w:cs="宋体"/>
          <w:sz w:val="24"/>
        </w:rPr>
        <w:t>磋商文件中下列术语应解释为：</w:t>
      </w:r>
    </w:p>
    <w:p w14:paraId="0330ECC2">
      <w:pPr>
        <w:spacing w:line="360" w:lineRule="auto"/>
        <w:ind w:firstLine="480" w:firstLineChars="200"/>
        <w:jc w:val="left"/>
        <w:rPr>
          <w:rFonts w:ascii="宋体" w:hAnsi="宋体" w:eastAsia="宋体" w:cs="宋体"/>
          <w:sz w:val="24"/>
        </w:rPr>
      </w:pPr>
      <w:r>
        <w:rPr>
          <w:rFonts w:ascii="宋体" w:hAnsi="宋体" w:eastAsia="宋体" w:cs="宋体"/>
          <w:sz w:val="24"/>
        </w:rPr>
        <w:t>2.1“磋商组织方”系指采购代理机构或采购单位，即：</w:t>
      </w:r>
      <w:r>
        <w:rPr>
          <w:rFonts w:hint="eastAsia" w:ascii="Times New Roman" w:hAnsi="Times New Roman" w:eastAsia="宋体" w:cs="Times New Roman"/>
          <w:sz w:val="24"/>
          <w:lang w:eastAsia="zh-CN"/>
        </w:rPr>
        <w:t>江苏顺天工程项目管理咨询有限公司</w:t>
      </w:r>
      <w:r>
        <w:rPr>
          <w:rFonts w:ascii="宋体" w:hAnsi="宋体" w:eastAsia="宋体" w:cs="宋体"/>
          <w:sz w:val="24"/>
        </w:rPr>
        <w:t>。</w:t>
      </w:r>
    </w:p>
    <w:p w14:paraId="06F78B79">
      <w:pPr>
        <w:spacing w:line="360" w:lineRule="auto"/>
        <w:ind w:firstLine="480" w:firstLineChars="200"/>
        <w:jc w:val="left"/>
        <w:rPr>
          <w:rFonts w:ascii="宋体" w:hAnsi="宋体" w:eastAsia="宋体" w:cs="宋体"/>
          <w:sz w:val="24"/>
        </w:rPr>
      </w:pPr>
      <w:r>
        <w:rPr>
          <w:rFonts w:ascii="宋体" w:hAnsi="宋体" w:eastAsia="宋体" w:cs="宋体"/>
          <w:sz w:val="24"/>
        </w:rPr>
        <w:t>2.2“采购人”系指依法进行政府采购的国家机关、事业单位、团体组织，即：</w:t>
      </w:r>
      <w:r>
        <w:rPr>
          <w:rFonts w:hint="eastAsia" w:ascii="Times New Roman" w:hAnsi="Times New Roman" w:eastAsia="宋体" w:cs="Times New Roman"/>
          <w:sz w:val="24"/>
        </w:rPr>
        <w:t>镇江市丹徒区住房和城乡建设局</w:t>
      </w:r>
      <w:r>
        <w:rPr>
          <w:rFonts w:ascii="宋体" w:hAnsi="宋体" w:eastAsia="宋体" w:cs="宋体"/>
          <w:sz w:val="24"/>
        </w:rPr>
        <w:t>。</w:t>
      </w:r>
    </w:p>
    <w:p w14:paraId="61AE4EE4">
      <w:pPr>
        <w:spacing w:line="360" w:lineRule="auto"/>
        <w:ind w:firstLine="480" w:firstLineChars="200"/>
        <w:jc w:val="left"/>
        <w:rPr>
          <w:rFonts w:ascii="宋体" w:hAnsi="宋体" w:eastAsia="宋体" w:cs="宋体"/>
          <w:sz w:val="24"/>
        </w:rPr>
      </w:pPr>
      <w:r>
        <w:rPr>
          <w:rFonts w:ascii="宋体" w:hAnsi="宋体" w:eastAsia="宋体" w:cs="宋体"/>
          <w:sz w:val="24"/>
        </w:rPr>
        <w:t>2.3“供应商”系指向采购人提供货物、工程或者服务的法人、其他组织或者自然人。</w:t>
      </w:r>
    </w:p>
    <w:p w14:paraId="7715588F">
      <w:pPr>
        <w:spacing w:line="360" w:lineRule="auto"/>
        <w:ind w:firstLine="480" w:firstLineChars="200"/>
        <w:jc w:val="left"/>
        <w:rPr>
          <w:rFonts w:ascii="宋体" w:hAnsi="宋体" w:eastAsia="宋体" w:cs="宋体"/>
          <w:sz w:val="24"/>
        </w:rPr>
      </w:pPr>
      <w:r>
        <w:rPr>
          <w:rFonts w:ascii="宋体" w:hAnsi="宋体" w:eastAsia="宋体" w:cs="宋体"/>
          <w:sz w:val="24"/>
        </w:rPr>
        <w:t>2.4“服务”系指本磋商文件所述采购标的，即</w:t>
      </w:r>
      <w:r>
        <w:rPr>
          <w:rFonts w:hint="eastAsia" w:ascii="Times New Roman" w:hAnsi="Times New Roman" w:eastAsia="宋体" w:cs="Times New Roman"/>
          <w:sz w:val="24"/>
          <w:lang w:eastAsia="zh-CN"/>
        </w:rPr>
        <w:t>丹徒区站岗沟行洪通道建设项目工程监理项目</w:t>
      </w:r>
      <w:r>
        <w:rPr>
          <w:rFonts w:ascii="宋体" w:hAnsi="宋体" w:eastAsia="宋体" w:cs="宋体"/>
          <w:sz w:val="24"/>
        </w:rPr>
        <w:t>，亦包括磋商文件中特别描述的其它形式的服务。</w:t>
      </w:r>
    </w:p>
    <w:p w14:paraId="08F34B68">
      <w:pPr>
        <w:spacing w:line="360" w:lineRule="auto"/>
        <w:jc w:val="left"/>
        <w:rPr>
          <w:rFonts w:ascii="宋体" w:hAnsi="宋体" w:eastAsia="宋体" w:cs="宋体"/>
          <w:sz w:val="24"/>
        </w:rPr>
      </w:pPr>
    </w:p>
    <w:p w14:paraId="78A08628">
      <w:pPr>
        <w:pStyle w:val="4"/>
        <w:spacing w:line="360" w:lineRule="auto"/>
        <w:rPr>
          <w:rFonts w:ascii="Times New Roman" w:hAnsi="Times New Roman" w:cs="Times New Roman"/>
        </w:rPr>
      </w:pPr>
      <w:bookmarkStart w:id="22" w:name="_Toc211511420"/>
      <w:r>
        <w:rPr>
          <w:rFonts w:ascii="Times New Roman" w:hAnsi="Times New Roman" w:cs="Times New Roman"/>
        </w:rPr>
        <w:t>3.本次采购方式</w:t>
      </w:r>
      <w:bookmarkEnd w:id="22"/>
    </w:p>
    <w:p w14:paraId="4147A145">
      <w:pPr>
        <w:spacing w:line="360" w:lineRule="auto"/>
        <w:jc w:val="left"/>
        <w:rPr>
          <w:rFonts w:ascii="宋体" w:hAnsi="宋体" w:eastAsia="宋体" w:cs="宋体"/>
          <w:sz w:val="24"/>
        </w:rPr>
      </w:pPr>
    </w:p>
    <w:p w14:paraId="7402ADE7">
      <w:pPr>
        <w:spacing w:line="360" w:lineRule="auto"/>
        <w:ind w:firstLine="480" w:firstLineChars="200"/>
        <w:jc w:val="left"/>
        <w:rPr>
          <w:rFonts w:ascii="宋体" w:hAnsi="宋体" w:eastAsia="宋体" w:cs="宋体"/>
          <w:sz w:val="24"/>
        </w:rPr>
      </w:pPr>
      <w:r>
        <w:rPr>
          <w:rFonts w:ascii="宋体" w:hAnsi="宋体" w:eastAsia="宋体" w:cs="宋体"/>
          <w:sz w:val="24"/>
        </w:rPr>
        <w:t>3.1本次采购采取竞争性磋商采购方式：</w:t>
      </w:r>
      <w:r>
        <w:rPr>
          <w:rFonts w:ascii="宋体" w:hAnsi="宋体" w:eastAsia="宋体" w:cs="宋体"/>
          <w:color w:val="0000FF"/>
          <w:sz w:val="24"/>
        </w:rPr>
        <w:t>综合评分法</w:t>
      </w:r>
      <w:r>
        <w:rPr>
          <w:rFonts w:ascii="宋体" w:hAnsi="宋体" w:eastAsia="宋体" w:cs="宋体"/>
          <w:sz w:val="24"/>
        </w:rPr>
        <w:t>。</w:t>
      </w:r>
    </w:p>
    <w:p w14:paraId="25D66EF4">
      <w:pPr>
        <w:spacing w:line="360" w:lineRule="auto"/>
        <w:ind w:firstLine="480" w:firstLineChars="200"/>
        <w:jc w:val="left"/>
        <w:rPr>
          <w:rFonts w:ascii="宋体" w:hAnsi="宋体" w:eastAsia="宋体" w:cs="宋体"/>
          <w:sz w:val="24"/>
        </w:rPr>
      </w:pPr>
      <w:r>
        <w:rPr>
          <w:rFonts w:ascii="宋体" w:hAnsi="宋体" w:eastAsia="宋体" w:cs="宋体"/>
          <w:sz w:val="24"/>
        </w:rPr>
        <w:t>3.2是否接受进口产品：☑否</w:t>
      </w:r>
    </w:p>
    <w:p w14:paraId="2E6B602E">
      <w:pPr>
        <w:spacing w:line="360" w:lineRule="auto"/>
        <w:ind w:firstLine="480" w:firstLineChars="200"/>
        <w:jc w:val="left"/>
        <w:rPr>
          <w:rFonts w:ascii="宋体" w:hAnsi="宋体" w:eastAsia="宋体" w:cs="宋体"/>
          <w:sz w:val="24"/>
        </w:rPr>
      </w:pPr>
      <w:r>
        <w:rPr>
          <w:rFonts w:ascii="宋体" w:hAnsi="宋体" w:eastAsia="宋体" w:cs="宋体"/>
          <w:sz w:val="24"/>
        </w:rPr>
        <w:t>3.3本项目资格审查方式：☑资格后审</w:t>
      </w:r>
    </w:p>
    <w:p w14:paraId="6855A0DF">
      <w:pPr>
        <w:spacing w:line="360" w:lineRule="auto"/>
        <w:ind w:firstLine="480" w:firstLineChars="200"/>
        <w:jc w:val="left"/>
        <w:rPr>
          <w:rFonts w:ascii="宋体" w:hAnsi="宋体" w:eastAsia="宋体" w:cs="宋体"/>
          <w:sz w:val="24"/>
        </w:rPr>
      </w:pPr>
      <w:r>
        <w:rPr>
          <w:rFonts w:ascii="宋体" w:hAnsi="宋体" w:eastAsia="宋体" w:cs="宋体"/>
          <w:sz w:val="24"/>
        </w:rPr>
        <w:t>3.4本次采购确定的成交人数量：1名</w:t>
      </w:r>
    </w:p>
    <w:p w14:paraId="380974E3">
      <w:pPr>
        <w:spacing w:line="360" w:lineRule="auto"/>
        <w:jc w:val="left"/>
        <w:rPr>
          <w:rFonts w:ascii="宋体" w:hAnsi="宋体" w:eastAsia="宋体" w:cs="宋体"/>
          <w:sz w:val="24"/>
        </w:rPr>
      </w:pPr>
    </w:p>
    <w:p w14:paraId="5DD5F531">
      <w:pPr>
        <w:pStyle w:val="4"/>
        <w:spacing w:line="360" w:lineRule="auto"/>
        <w:rPr>
          <w:rFonts w:ascii="Times New Roman" w:hAnsi="Times New Roman" w:cs="Times New Roman"/>
        </w:rPr>
      </w:pPr>
      <w:bookmarkStart w:id="23" w:name="_Toc211511421"/>
      <w:r>
        <w:rPr>
          <w:rFonts w:ascii="Times New Roman" w:hAnsi="Times New Roman" w:cs="Times New Roman"/>
        </w:rPr>
        <w:t>4.磋商费用</w:t>
      </w:r>
      <w:bookmarkEnd w:id="23"/>
    </w:p>
    <w:p w14:paraId="742C32A3">
      <w:pPr>
        <w:spacing w:line="360" w:lineRule="auto"/>
        <w:jc w:val="left"/>
        <w:rPr>
          <w:rFonts w:ascii="宋体" w:hAnsi="宋体" w:eastAsia="宋体" w:cs="宋体"/>
          <w:sz w:val="24"/>
        </w:rPr>
      </w:pPr>
    </w:p>
    <w:p w14:paraId="5E9F8F40">
      <w:pPr>
        <w:spacing w:line="360" w:lineRule="auto"/>
        <w:ind w:firstLine="480" w:firstLineChars="200"/>
        <w:jc w:val="left"/>
        <w:rPr>
          <w:rFonts w:ascii="宋体" w:hAnsi="宋体" w:eastAsia="宋体" w:cs="宋体"/>
          <w:sz w:val="24"/>
        </w:rPr>
      </w:pPr>
      <w:r>
        <w:rPr>
          <w:rFonts w:ascii="宋体" w:hAnsi="宋体" w:eastAsia="宋体" w:cs="宋体"/>
          <w:sz w:val="24"/>
        </w:rPr>
        <w:t>4.1供应商应自行承担所有与参加磋商有关的费用。</w:t>
      </w:r>
    </w:p>
    <w:p w14:paraId="015D23EA">
      <w:pPr>
        <w:spacing w:line="360" w:lineRule="auto"/>
        <w:ind w:firstLine="480" w:firstLineChars="200"/>
        <w:jc w:val="left"/>
        <w:rPr>
          <w:rFonts w:ascii="宋体" w:hAnsi="宋体" w:eastAsia="宋体" w:cs="宋体"/>
          <w:sz w:val="24"/>
        </w:rPr>
      </w:pPr>
      <w:bookmarkStart w:id="24" w:name="EBa03e57766b9945f190ef39ac1142e3ed"/>
      <w:r>
        <w:rPr>
          <w:rFonts w:hint="eastAsia" w:ascii="宋体" w:hAnsi="宋体" w:eastAsia="宋体" w:cs="宋体"/>
          <w:sz w:val="24"/>
        </w:rPr>
        <w:t>☑</w:t>
      </w:r>
      <w:bookmarkEnd w:id="24"/>
      <w:r>
        <w:rPr>
          <w:rFonts w:hint="eastAsia" w:ascii="宋体" w:hAnsi="宋体" w:eastAsia="宋体" w:cs="宋体"/>
          <w:sz w:val="24"/>
        </w:rPr>
        <w:t>中标人需向代理机构缴纳</w:t>
      </w:r>
      <w:bookmarkStart w:id="25" w:name="EB48c20503de754ffc8a86078496abe33e"/>
      <w:bookmarkEnd w:id="25"/>
      <w:r>
        <w:rPr>
          <w:rFonts w:hint="eastAsia" w:ascii="宋体" w:hAnsi="宋体" w:eastAsia="宋体" w:cs="宋体"/>
          <w:sz w:val="24"/>
        </w:rPr>
        <w:t>服务费。</w:t>
      </w:r>
    </w:p>
    <w:p w14:paraId="531D7317">
      <w:pPr>
        <w:spacing w:line="360" w:lineRule="auto"/>
        <w:ind w:firstLine="480" w:firstLineChars="200"/>
        <w:jc w:val="left"/>
        <w:rPr>
          <w:rFonts w:ascii="宋体" w:hAnsi="宋体" w:eastAsia="宋体" w:cs="宋体"/>
          <w:sz w:val="24"/>
        </w:rPr>
      </w:pPr>
      <w:r>
        <w:rPr>
          <w:rFonts w:hint="eastAsia" w:ascii="宋体" w:hAnsi="宋体" w:eastAsia="宋体" w:cs="宋体"/>
          <w:sz w:val="24"/>
        </w:rPr>
        <w:t>收费标准：</w:t>
      </w:r>
      <w:r>
        <w:rPr>
          <w:rFonts w:hint="eastAsia" w:ascii="宋体" w:hAnsi="宋体" w:cs="宋体"/>
          <w:color w:val="000000"/>
          <w:sz w:val="24"/>
          <w:u w:val="single"/>
          <w:lang w:val="en-US" w:eastAsia="zh-CN"/>
        </w:rPr>
        <w:t>招标代理服务费参照</w:t>
      </w:r>
      <w:r>
        <w:rPr>
          <w:rFonts w:hint="eastAsia" w:ascii="宋体" w:hAnsi="宋体" w:cs="宋体"/>
          <w:color w:val="000000"/>
          <w:sz w:val="24"/>
          <w:u w:val="single"/>
        </w:rPr>
        <w:t>苏招协</w:t>
      </w:r>
      <w:r>
        <w:rPr>
          <w:rFonts w:hint="eastAsia" w:ascii="宋体" w:hAnsi="宋体" w:cs="宋体"/>
          <w:color w:val="000000"/>
          <w:sz w:val="24"/>
          <w:u w:val="single"/>
          <w:lang w:val="en-US" w:eastAsia="zh-CN"/>
        </w:rPr>
        <w:t>[</w:t>
      </w:r>
      <w:r>
        <w:rPr>
          <w:rFonts w:hint="eastAsia" w:ascii="宋体" w:hAnsi="宋体" w:cs="宋体"/>
          <w:color w:val="000000"/>
          <w:sz w:val="24"/>
          <w:u w:val="single"/>
        </w:rPr>
        <w:t>2022</w:t>
      </w:r>
      <w:r>
        <w:rPr>
          <w:rFonts w:hint="eastAsia" w:ascii="宋体" w:hAnsi="宋体" w:cs="宋体"/>
          <w:color w:val="000000"/>
          <w:sz w:val="24"/>
          <w:u w:val="single"/>
          <w:lang w:val="en-US" w:eastAsia="zh-CN"/>
        </w:rPr>
        <w:t>]</w:t>
      </w:r>
      <w:r>
        <w:rPr>
          <w:rFonts w:hint="eastAsia" w:ascii="宋体" w:hAnsi="宋体" w:cs="宋体"/>
          <w:color w:val="000000"/>
          <w:sz w:val="24"/>
          <w:u w:val="single"/>
        </w:rPr>
        <w:t>002号文收费标准</w:t>
      </w:r>
      <w:r>
        <w:rPr>
          <w:rFonts w:hint="eastAsia" w:ascii="宋体" w:hAnsi="宋体" w:eastAsia="宋体" w:cs="宋体"/>
          <w:sz w:val="24"/>
        </w:rPr>
        <w:t>。</w:t>
      </w:r>
    </w:p>
    <w:p w14:paraId="7DEAF5F1">
      <w:pPr>
        <w:spacing w:line="360" w:lineRule="auto"/>
        <w:ind w:firstLine="480" w:firstLineChars="200"/>
        <w:jc w:val="left"/>
        <w:rPr>
          <w:rFonts w:ascii="宋体" w:hAnsi="宋体" w:eastAsia="宋体" w:cs="宋体"/>
          <w:sz w:val="24"/>
        </w:rPr>
      </w:pPr>
      <w:r>
        <w:rPr>
          <w:rFonts w:hint="eastAsia" w:ascii="宋体" w:hAnsi="宋体" w:eastAsia="宋体" w:cs="宋体"/>
          <w:sz w:val="24"/>
        </w:rPr>
        <w:t>招标代理费用收款信息（已获得总公司授权）：</w:t>
      </w:r>
    </w:p>
    <w:p w14:paraId="52C22687">
      <w:pPr>
        <w:spacing w:line="360" w:lineRule="auto"/>
        <w:ind w:firstLine="480" w:firstLineChars="200"/>
        <w:jc w:val="left"/>
        <w:rPr>
          <w:rFonts w:ascii="宋体" w:hAnsi="宋体" w:eastAsia="宋体" w:cs="宋体"/>
          <w:sz w:val="24"/>
        </w:rPr>
      </w:pPr>
      <w:r>
        <w:rPr>
          <w:rFonts w:hint="eastAsia" w:ascii="宋体" w:hAnsi="宋体" w:eastAsia="宋体" w:cs="宋体"/>
          <w:sz w:val="24"/>
        </w:rPr>
        <w:t>收款单位：江苏顺天工程项目管理咨询有限公司镇江分公司</w:t>
      </w:r>
    </w:p>
    <w:p w14:paraId="640451F1">
      <w:pPr>
        <w:spacing w:line="360" w:lineRule="auto"/>
        <w:ind w:firstLine="480" w:firstLineChars="200"/>
        <w:jc w:val="left"/>
        <w:rPr>
          <w:rFonts w:ascii="宋体" w:hAnsi="宋体" w:eastAsia="宋体" w:cs="宋体"/>
          <w:sz w:val="24"/>
        </w:rPr>
      </w:pPr>
      <w:r>
        <w:rPr>
          <w:rFonts w:hint="eastAsia" w:ascii="宋体" w:hAnsi="宋体" w:eastAsia="宋体" w:cs="宋体"/>
          <w:sz w:val="24"/>
        </w:rPr>
        <w:t>收款账号：1104065009200260943</w:t>
      </w:r>
    </w:p>
    <w:p w14:paraId="4709E50E">
      <w:pPr>
        <w:spacing w:line="360" w:lineRule="auto"/>
        <w:ind w:firstLine="480" w:firstLineChars="200"/>
        <w:jc w:val="left"/>
        <w:rPr>
          <w:rFonts w:ascii="宋体" w:hAnsi="宋体" w:eastAsia="宋体" w:cs="宋体"/>
          <w:sz w:val="24"/>
        </w:rPr>
      </w:pPr>
      <w:r>
        <w:rPr>
          <w:rFonts w:hint="eastAsia" w:ascii="宋体" w:hAnsi="宋体" w:eastAsia="宋体" w:cs="宋体"/>
          <w:sz w:val="24"/>
        </w:rPr>
        <w:t>开户银行：</w:t>
      </w:r>
      <w:bookmarkStart w:id="26" w:name="EB8e672765b2f94359b70d316fc0e9c5d1"/>
      <w:r>
        <w:rPr>
          <w:rFonts w:hint="eastAsia" w:ascii="宋体" w:hAnsi="宋体" w:eastAsia="宋体" w:cs="宋体"/>
          <w:sz w:val="24"/>
        </w:rPr>
        <w:t>中国工商银行股份有限公司镇江科技新城支行</w:t>
      </w:r>
    </w:p>
    <w:p w14:paraId="6B0BE45A">
      <w:pPr>
        <w:spacing w:line="360" w:lineRule="auto"/>
        <w:ind w:firstLine="480" w:firstLineChars="200"/>
        <w:jc w:val="left"/>
        <w:rPr>
          <w:rFonts w:ascii="宋体" w:hAnsi="宋体" w:eastAsia="宋体" w:cs="宋体"/>
          <w:sz w:val="24"/>
        </w:rPr>
      </w:pPr>
      <w:r>
        <w:rPr>
          <w:rFonts w:hint="eastAsia" w:ascii="宋体" w:hAnsi="宋体" w:eastAsia="宋体" w:cs="宋体"/>
          <w:sz w:val="24"/>
        </w:rPr>
        <w:t>☑</w:t>
      </w:r>
      <w:bookmarkEnd w:id="26"/>
      <w:r>
        <w:rPr>
          <w:rFonts w:hint="eastAsia" w:ascii="宋体" w:hAnsi="宋体" w:eastAsia="宋体" w:cs="宋体"/>
          <w:sz w:val="24"/>
        </w:rPr>
        <w:t>其他费用：</w:t>
      </w:r>
      <w:bookmarkStart w:id="27" w:name="EB13cedaa9e1874a5d921c2f30c7ba3fcb"/>
      <w:r>
        <w:rPr>
          <w:rFonts w:hint="eastAsia" w:ascii="宋体" w:hAnsi="宋体" w:eastAsia="宋体" w:cs="宋体"/>
          <w:sz w:val="24"/>
        </w:rPr>
        <w:t>专家评审费按实际发生收取。</w:t>
      </w:r>
      <w:bookmarkEnd w:id="27"/>
    </w:p>
    <w:p w14:paraId="23D6765F">
      <w:pPr>
        <w:spacing w:line="360" w:lineRule="auto"/>
        <w:ind w:firstLine="480" w:firstLineChars="200"/>
        <w:jc w:val="left"/>
        <w:rPr>
          <w:rFonts w:ascii="宋体" w:hAnsi="宋体" w:eastAsia="宋体" w:cs="宋体"/>
          <w:sz w:val="24"/>
        </w:rPr>
      </w:pPr>
      <w:r>
        <w:rPr>
          <w:rFonts w:ascii="宋体" w:hAnsi="宋体" w:eastAsia="宋体" w:cs="宋体"/>
          <w:sz w:val="24"/>
        </w:rPr>
        <w:t>4.2不论磋商的结果如何，磋商组织方在任何情况下均无义务和责任承担上述费用。</w:t>
      </w:r>
    </w:p>
    <w:p w14:paraId="7587E73C">
      <w:pPr>
        <w:pStyle w:val="4"/>
        <w:spacing w:line="360" w:lineRule="auto"/>
        <w:rPr>
          <w:rFonts w:ascii="宋体" w:hAnsi="宋体" w:eastAsia="宋体" w:cs="宋体"/>
          <w:sz w:val="24"/>
        </w:rPr>
      </w:pPr>
      <w:bookmarkStart w:id="28" w:name="_Toc211511422"/>
      <w:r>
        <w:rPr>
          <w:rFonts w:ascii="Times New Roman" w:hAnsi="Times New Roman" w:cs="Times New Roman"/>
        </w:rPr>
        <w:t>5.政策功能</w:t>
      </w:r>
      <w:bookmarkEnd w:id="28"/>
    </w:p>
    <w:p w14:paraId="79BEE8FF">
      <w:pPr>
        <w:pStyle w:val="7"/>
        <w:spacing w:line="360" w:lineRule="auto"/>
        <w:ind w:firstLine="480"/>
        <w:rPr>
          <w:rFonts w:ascii="宋体" w:hAnsi="宋体" w:eastAsia="宋体" w:cs="宋体"/>
          <w:sz w:val="24"/>
        </w:rPr>
      </w:pPr>
      <w:r>
        <w:rPr>
          <w:rFonts w:hint="eastAsia" w:ascii="宋体" w:hAnsi="宋体" w:eastAsia="宋体" w:cs="宋体"/>
          <w:sz w:val="24"/>
        </w:rPr>
        <w:t>5.1支持中小企业发展</w:t>
      </w:r>
    </w:p>
    <w:p w14:paraId="2BFD76C0">
      <w:pPr>
        <w:pStyle w:val="7"/>
        <w:spacing w:line="360" w:lineRule="auto"/>
        <w:ind w:firstLine="480"/>
        <w:rPr>
          <w:rFonts w:ascii="宋体" w:hAnsi="宋体" w:eastAsia="宋体" w:cs="宋体"/>
          <w:sz w:val="24"/>
        </w:rPr>
      </w:pPr>
      <w:r>
        <w:rPr>
          <w:rFonts w:hint="eastAsia" w:ascii="宋体" w:hAnsi="宋体" w:eastAsia="宋体" w:cs="宋体"/>
          <w:sz w:val="24"/>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35C15DD2">
      <w:pPr>
        <w:pStyle w:val="7"/>
        <w:spacing w:line="360" w:lineRule="auto"/>
        <w:ind w:firstLine="480"/>
        <w:rPr>
          <w:rFonts w:ascii="宋体" w:hAnsi="宋体" w:eastAsia="宋体" w:cs="宋体"/>
          <w:sz w:val="24"/>
        </w:rPr>
      </w:pPr>
      <w:r>
        <w:rPr>
          <w:rFonts w:hint="eastAsia" w:ascii="宋体" w:hAnsi="宋体" w:eastAsia="宋体" w:cs="宋体"/>
          <w:sz w:val="24"/>
        </w:rPr>
        <w:t>符合中小企业划分标准的个体工商户，在政府采购活动中视同中小企业。</w:t>
      </w:r>
    </w:p>
    <w:p w14:paraId="5639125C">
      <w:pPr>
        <w:pStyle w:val="7"/>
        <w:spacing w:line="360" w:lineRule="auto"/>
        <w:ind w:firstLine="480"/>
        <w:rPr>
          <w:rFonts w:ascii="宋体" w:hAnsi="宋体" w:eastAsia="宋体" w:cs="宋体"/>
          <w:sz w:val="24"/>
        </w:rPr>
      </w:pPr>
      <w:r>
        <w:rPr>
          <w:rFonts w:hint="eastAsia" w:ascii="宋体" w:hAnsi="宋体" w:eastAsia="宋体" w:cs="宋体"/>
          <w:sz w:val="24"/>
        </w:rPr>
        <w:t>5.1.2在未预留份额专门面向中小企业的政府采购货物或服务项目，以及预留份额政府采购货物或服务项目中的非预留部分标项中，投标人提供的货物、工程或者服务符合下列情形的，享受中小企业扶持政策：</w:t>
      </w:r>
    </w:p>
    <w:p w14:paraId="668241CA">
      <w:pPr>
        <w:pStyle w:val="7"/>
        <w:spacing w:line="360" w:lineRule="auto"/>
        <w:ind w:firstLine="480"/>
        <w:rPr>
          <w:rFonts w:ascii="宋体" w:hAnsi="宋体" w:eastAsia="宋体" w:cs="宋体"/>
          <w:sz w:val="24"/>
        </w:rPr>
      </w:pPr>
      <w:r>
        <w:rPr>
          <w:rFonts w:hint="eastAsia" w:ascii="宋体" w:hAnsi="宋体" w:eastAsia="宋体" w:cs="宋体"/>
          <w:sz w:val="24"/>
        </w:rPr>
        <w:t>5.1.2.1在货物采购项目中，货物由中小企业制造，即货物由中小企业生产且使用该中小企业商号或者注册商标；</w:t>
      </w:r>
    </w:p>
    <w:p w14:paraId="2E22D194">
      <w:pPr>
        <w:pStyle w:val="7"/>
        <w:spacing w:line="360" w:lineRule="auto"/>
        <w:ind w:firstLine="480"/>
        <w:rPr>
          <w:rFonts w:ascii="宋体" w:hAnsi="宋体" w:eastAsia="宋体" w:cs="宋体"/>
          <w:sz w:val="24"/>
        </w:rPr>
      </w:pPr>
      <w:r>
        <w:rPr>
          <w:rFonts w:hint="eastAsia" w:ascii="宋体" w:hAnsi="宋体" w:eastAsia="宋体" w:cs="宋体"/>
          <w:sz w:val="24"/>
        </w:rPr>
        <w:t>5.1.2.2在工程采购项目中，工程由中小企业承建，即工程施工单位为中小企业；</w:t>
      </w:r>
    </w:p>
    <w:p w14:paraId="08CEE386">
      <w:pPr>
        <w:pStyle w:val="7"/>
        <w:spacing w:line="360" w:lineRule="auto"/>
        <w:ind w:firstLine="480"/>
        <w:rPr>
          <w:rFonts w:ascii="宋体" w:hAnsi="宋体" w:eastAsia="宋体" w:cs="宋体"/>
          <w:sz w:val="24"/>
        </w:rPr>
      </w:pPr>
      <w:r>
        <w:rPr>
          <w:rFonts w:hint="eastAsia" w:ascii="宋体" w:hAnsi="宋体" w:eastAsia="宋体" w:cs="宋体"/>
          <w:sz w:val="24"/>
        </w:rPr>
        <w:t>5.1.2.3在服务采购项目中，服务由中小企业承接，即提供服务的人员为中小企业依照《中华人民共和国劳动合同法》订立劳动合同的从业人员。</w:t>
      </w:r>
    </w:p>
    <w:p w14:paraId="03FB4D79">
      <w:pPr>
        <w:pStyle w:val="7"/>
        <w:spacing w:line="360" w:lineRule="auto"/>
        <w:ind w:firstLine="480"/>
        <w:rPr>
          <w:rFonts w:ascii="宋体" w:hAnsi="宋体" w:eastAsia="宋体" w:cs="宋体"/>
          <w:sz w:val="24"/>
        </w:rPr>
      </w:pPr>
      <w:r>
        <w:rPr>
          <w:rFonts w:hint="eastAsia" w:ascii="宋体" w:hAnsi="宋体" w:eastAsia="宋体" w:cs="宋体"/>
          <w:sz w:val="24"/>
        </w:rPr>
        <w:t>在货物采购项目中，投标人提供的货物既有中小企业制造货物，也有大型企业制造货物的，不享受中小企业扶持政策。</w:t>
      </w:r>
    </w:p>
    <w:p w14:paraId="5AD7BA80">
      <w:pPr>
        <w:pStyle w:val="7"/>
        <w:spacing w:line="360" w:lineRule="auto"/>
        <w:ind w:firstLine="480"/>
        <w:rPr>
          <w:rFonts w:ascii="宋体" w:hAnsi="宋体" w:eastAsia="宋体" w:cs="宋体"/>
          <w:sz w:val="24"/>
        </w:rPr>
      </w:pPr>
      <w:r>
        <w:rPr>
          <w:rFonts w:hint="eastAsia" w:ascii="宋体" w:hAnsi="宋体" w:eastAsia="宋体" w:cs="宋体"/>
          <w:sz w:val="24"/>
        </w:rPr>
        <w:t>以联合体形式参加政府采购活动，联合体各方均为中小企业的，联合体视同中小企业。其中，联合体各方均为小微企业的，联合体视同小微企业。</w:t>
      </w:r>
    </w:p>
    <w:p w14:paraId="211AAC66">
      <w:pPr>
        <w:spacing w:line="360" w:lineRule="auto"/>
        <w:ind w:firstLine="480" w:firstLineChars="200"/>
        <w:rPr>
          <w:rFonts w:ascii="宋体" w:hAnsi="宋体" w:eastAsia="宋体" w:cs="宋体"/>
          <w:sz w:val="24"/>
        </w:rPr>
      </w:pPr>
      <w:r>
        <w:rPr>
          <w:rFonts w:hint="eastAsia" w:ascii="宋体" w:hAnsi="宋体" w:eastAsia="宋体" w:cs="宋体"/>
          <w:sz w:val="24"/>
        </w:rPr>
        <w:t>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29" w:name="_Hlk132637972"/>
      <w:r>
        <w:rPr>
          <w:rFonts w:hint="eastAsia" w:ascii="宋体" w:hAnsi="宋体" w:eastAsia="宋体" w:cs="宋体"/>
          <w:iCs/>
          <w:sz w:val="24"/>
        </w:rPr>
        <w:t>10%-20%</w:t>
      </w:r>
      <w:bookmarkEnd w:id="29"/>
      <w:r>
        <w:rPr>
          <w:rFonts w:hint="eastAsia" w:ascii="宋体" w:hAnsi="宋体" w:eastAsia="宋体" w:cs="宋体"/>
          <w:sz w:val="24"/>
        </w:rPr>
        <w:t>的扣除，</w:t>
      </w:r>
      <w:bookmarkStart w:id="30" w:name="_Hlk132637893"/>
      <w:r>
        <w:rPr>
          <w:rFonts w:hint="eastAsia" w:ascii="宋体" w:hAnsi="宋体" w:eastAsia="宋体" w:cs="宋体"/>
          <w:sz w:val="24"/>
        </w:rPr>
        <w:t>用扣除后的价格参与评审</w:t>
      </w:r>
      <w:bookmarkEnd w:id="30"/>
      <w:r>
        <w:rPr>
          <w:rFonts w:hint="eastAsia" w:ascii="宋体" w:hAnsi="宋体" w:eastAsia="宋体" w:cs="宋体"/>
          <w:sz w:val="24"/>
        </w:rPr>
        <w:t>。接受大中型企业与小微企业组成联合体或者允许大中型企业向一家或者多家小微企业分包的政府采购货物或服务项目，对于联合协议或者分包意向协议</w:t>
      </w:r>
      <w:r>
        <w:rPr>
          <w:rFonts w:hint="eastAsia" w:ascii="宋体" w:hAnsi="宋体" w:eastAsia="宋体" w:cs="宋体"/>
          <w:bCs/>
          <w:sz w:val="24"/>
        </w:rPr>
        <w:t>约定小型、微型企业的协议合同金额占到合同总金额30%以上的，给予联合体</w:t>
      </w:r>
      <w:r>
        <w:rPr>
          <w:rFonts w:hint="eastAsia" w:ascii="宋体" w:hAnsi="宋体" w:eastAsia="宋体" w:cs="宋体"/>
          <w:bCs/>
          <w:iCs/>
          <w:sz w:val="24"/>
        </w:rPr>
        <w:t>4%-6%</w:t>
      </w:r>
      <w:r>
        <w:rPr>
          <w:rFonts w:hint="eastAsia" w:ascii="宋体" w:hAnsi="宋体" w:eastAsia="宋体" w:cs="宋体"/>
          <w:bCs/>
          <w:sz w:val="24"/>
        </w:rPr>
        <w:t>的价格扣除。联合体各方均为小型、微型企业的，联合体视同为小型、微型企业享受</w:t>
      </w:r>
      <w:r>
        <w:rPr>
          <w:rFonts w:hint="eastAsia" w:ascii="宋体" w:hAnsi="宋体" w:eastAsia="宋体" w:cs="宋体"/>
          <w:iCs/>
          <w:sz w:val="24"/>
        </w:rPr>
        <w:t>10%-20%</w:t>
      </w:r>
      <w:r>
        <w:rPr>
          <w:rFonts w:hint="eastAsia" w:ascii="宋体" w:hAnsi="宋体" w:eastAsia="宋体" w:cs="宋体"/>
          <w:bCs/>
          <w:sz w:val="24"/>
        </w:rPr>
        <w:t>的价格扣除，</w:t>
      </w:r>
      <w:r>
        <w:rPr>
          <w:rFonts w:hint="eastAsia" w:ascii="宋体" w:hAnsi="宋体" w:eastAsia="宋体" w:cs="宋体"/>
          <w:sz w:val="24"/>
        </w:rPr>
        <w:t>用扣除后的价格参与评审</w:t>
      </w:r>
      <w:r>
        <w:rPr>
          <w:rFonts w:hint="eastAsia" w:ascii="宋体" w:hAnsi="宋体" w:eastAsia="宋体" w:cs="宋体"/>
          <w:bCs/>
          <w:sz w:val="24"/>
        </w:rPr>
        <w:t>。</w:t>
      </w:r>
      <w:r>
        <w:rPr>
          <w:rFonts w:hint="eastAsia" w:ascii="宋体" w:hAnsi="宋体" w:eastAsia="宋体" w:cs="宋体"/>
          <w:sz w:val="24"/>
        </w:rPr>
        <w:t>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17548E1D">
      <w:pPr>
        <w:pStyle w:val="7"/>
        <w:spacing w:line="360" w:lineRule="auto"/>
        <w:ind w:firstLine="480"/>
        <w:rPr>
          <w:rFonts w:ascii="宋体" w:hAnsi="宋体" w:eastAsia="宋体" w:cs="宋体"/>
          <w:bCs/>
          <w:sz w:val="24"/>
        </w:rPr>
      </w:pPr>
      <w:r>
        <w:rPr>
          <w:rFonts w:hint="eastAsia" w:ascii="宋体" w:hAnsi="宋体" w:eastAsia="宋体" w:cs="宋体"/>
          <w:sz w:val="24"/>
        </w:rPr>
        <w:t>5.1.4</w:t>
      </w:r>
      <w:r>
        <w:rPr>
          <w:rFonts w:hint="eastAsia" w:ascii="宋体" w:hAnsi="宋体" w:eastAsia="宋体" w:cs="宋体"/>
          <w:bCs/>
          <w:sz w:val="24"/>
        </w:rPr>
        <w:t>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21DCA5D6">
      <w:pPr>
        <w:spacing w:line="360" w:lineRule="auto"/>
        <w:ind w:firstLine="480" w:firstLineChars="200"/>
        <w:rPr>
          <w:rFonts w:ascii="宋体" w:hAnsi="宋体" w:eastAsia="宋体" w:cs="宋体"/>
          <w:bCs/>
          <w:sz w:val="24"/>
        </w:rPr>
      </w:pPr>
      <w:r>
        <w:rPr>
          <w:rFonts w:hint="eastAsia" w:ascii="宋体" w:hAnsi="宋体" w:eastAsia="宋体" w:cs="宋体"/>
          <w:bCs/>
          <w:sz w:val="24"/>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28D2B82B">
      <w:pPr>
        <w:spacing w:line="360" w:lineRule="auto"/>
        <w:ind w:firstLine="480" w:firstLineChars="200"/>
        <w:rPr>
          <w:rFonts w:ascii="宋体" w:hAnsi="宋体" w:eastAsia="宋体" w:cs="宋体"/>
          <w:bCs/>
          <w:sz w:val="24"/>
        </w:rPr>
      </w:pPr>
      <w:r>
        <w:rPr>
          <w:rFonts w:hint="eastAsia" w:ascii="宋体" w:hAnsi="宋体" w:eastAsia="宋体" w:cs="宋体"/>
          <w:bCs/>
          <w:sz w:val="24"/>
        </w:rPr>
        <w:t>5.1.6中小企业享受扶持政策获得政府采购合同的，小微企业不得将合同分包给大中型企业，中型企业不得将合同分包给大型企业。</w:t>
      </w:r>
    </w:p>
    <w:p w14:paraId="36F010A7">
      <w:pPr>
        <w:spacing w:line="360" w:lineRule="auto"/>
        <w:ind w:firstLine="477" w:firstLineChars="199"/>
        <w:rPr>
          <w:rFonts w:ascii="宋体" w:hAnsi="宋体" w:eastAsia="宋体" w:cs="宋体"/>
          <w:sz w:val="24"/>
        </w:rPr>
      </w:pPr>
      <w:r>
        <w:rPr>
          <w:rFonts w:hint="eastAsia" w:ascii="宋体" w:hAnsi="宋体" w:eastAsia="宋体" w:cs="宋体"/>
          <w:sz w:val="24"/>
        </w:rPr>
        <w:t>5.2强制采购信息安全产品</w:t>
      </w:r>
    </w:p>
    <w:p w14:paraId="32BBB800">
      <w:pPr>
        <w:spacing w:line="360" w:lineRule="auto"/>
        <w:ind w:firstLine="477" w:firstLineChars="199"/>
        <w:rPr>
          <w:rFonts w:ascii="宋体" w:hAnsi="宋体" w:eastAsia="宋体" w:cs="宋体"/>
          <w:sz w:val="24"/>
        </w:rPr>
      </w:pPr>
      <w:r>
        <w:rPr>
          <w:rFonts w:hint="eastAsia" w:ascii="宋体" w:hAnsi="宋体" w:eastAsia="宋体" w:cs="宋体"/>
          <w:sz w:val="24"/>
        </w:rPr>
        <w:t>信息安全产品指国家质检总局国家认监委《信息安全产品强制性认证目录》，并获得强制性产品认证证书的产品。</w:t>
      </w:r>
    </w:p>
    <w:p w14:paraId="668EAFF7">
      <w:pPr>
        <w:spacing w:line="360" w:lineRule="auto"/>
        <w:ind w:firstLine="477" w:firstLineChars="199"/>
        <w:rPr>
          <w:rFonts w:ascii="宋体" w:hAnsi="宋体" w:eastAsia="宋体" w:cs="宋体"/>
          <w:sz w:val="24"/>
        </w:rPr>
      </w:pPr>
      <w:r>
        <w:rPr>
          <w:rFonts w:hint="eastAsia" w:ascii="宋体" w:hAnsi="宋体" w:eastAsia="宋体" w:cs="宋体"/>
          <w:sz w:val="24"/>
        </w:rPr>
        <w:t>5.3支持绿色发展</w:t>
      </w:r>
    </w:p>
    <w:p w14:paraId="0B017A04">
      <w:pPr>
        <w:spacing w:line="360" w:lineRule="auto"/>
        <w:ind w:firstLine="477" w:firstLineChars="199"/>
        <w:rPr>
          <w:rFonts w:ascii="宋体" w:hAnsi="宋体" w:eastAsia="宋体" w:cs="宋体"/>
          <w:sz w:val="24"/>
        </w:rPr>
      </w:pPr>
      <w:r>
        <w:rPr>
          <w:rFonts w:hint="eastAsia" w:ascii="宋体" w:hAnsi="宋体" w:eastAsia="宋体" w:cs="宋体"/>
          <w:sz w:val="24"/>
        </w:rPr>
        <w:t>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52B2926A">
      <w:pPr>
        <w:spacing w:line="360" w:lineRule="auto"/>
        <w:ind w:firstLine="477" w:firstLineChars="199"/>
        <w:rPr>
          <w:rFonts w:ascii="宋体" w:hAnsi="宋体" w:eastAsia="宋体" w:cs="宋体"/>
          <w:sz w:val="24"/>
        </w:rPr>
      </w:pPr>
      <w:r>
        <w:rPr>
          <w:rFonts w:hint="eastAsia" w:ascii="宋体" w:hAnsi="宋体" w:eastAsia="宋体" w:cs="宋体"/>
          <w:sz w:val="24"/>
        </w:rPr>
        <w:t>5.3.2本项目中涉及商品包装和快递包装的，参考《财政部办公厅关于印发《商品包装政府采购需求标准（试行）》、《快递包装政府采购需求标准（试行）》的通知》</w:t>
      </w:r>
      <w:bookmarkStart w:id="31" w:name="_Hlk132634610"/>
      <w:r>
        <w:rPr>
          <w:rFonts w:hint="eastAsia" w:ascii="宋体" w:hAnsi="宋体" w:eastAsia="宋体" w:cs="宋体"/>
          <w:sz w:val="24"/>
        </w:rPr>
        <w:t>（财办库〔2020〕123号）</w:t>
      </w:r>
      <w:bookmarkEnd w:id="31"/>
      <w:r>
        <w:rPr>
          <w:rFonts w:hint="eastAsia" w:ascii="宋体" w:hAnsi="宋体" w:eastAsia="宋体" w:cs="宋体"/>
          <w:sz w:val="24"/>
        </w:rPr>
        <w:t>规定的包装需求标准。</w:t>
      </w:r>
    </w:p>
    <w:p w14:paraId="27A7D7BB">
      <w:pPr>
        <w:spacing w:line="360" w:lineRule="auto"/>
        <w:ind w:firstLine="477" w:firstLineChars="199"/>
        <w:rPr>
          <w:rFonts w:ascii="宋体" w:hAnsi="宋体" w:eastAsia="宋体" w:cs="宋体"/>
          <w:sz w:val="24"/>
        </w:rPr>
      </w:pPr>
      <w:r>
        <w:rPr>
          <w:rFonts w:hint="eastAsia" w:ascii="宋体" w:hAnsi="宋体" w:eastAsia="宋体" w:cs="宋体"/>
          <w:sz w:val="24"/>
        </w:rPr>
        <w:t>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p>
    <w:p w14:paraId="6D0BF7FF">
      <w:pPr>
        <w:spacing w:line="360" w:lineRule="auto"/>
        <w:ind w:firstLine="477" w:firstLineChars="199"/>
        <w:rPr>
          <w:rFonts w:ascii="宋体" w:hAnsi="宋体" w:eastAsia="宋体" w:cs="宋体"/>
          <w:sz w:val="24"/>
        </w:rPr>
      </w:pPr>
      <w:r>
        <w:rPr>
          <w:rFonts w:hint="eastAsia" w:ascii="宋体" w:hAnsi="宋体" w:eastAsia="宋体" w:cs="宋体"/>
          <w:sz w:val="24"/>
        </w:rPr>
        <w:t>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p>
    <w:p w14:paraId="7F35F462">
      <w:pPr>
        <w:spacing w:line="360" w:lineRule="auto"/>
        <w:ind w:firstLine="477" w:firstLineChars="199"/>
        <w:rPr>
          <w:rFonts w:ascii="宋体" w:hAnsi="宋体" w:eastAsia="宋体" w:cs="宋体"/>
          <w:sz w:val="24"/>
        </w:rPr>
      </w:pPr>
      <w:r>
        <w:rPr>
          <w:rFonts w:hint="eastAsia" w:ascii="宋体" w:hAnsi="宋体" w:eastAsia="宋体" w:cs="宋体"/>
          <w:sz w:val="24"/>
        </w:rPr>
        <w:t>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53ED5274">
      <w:pPr>
        <w:spacing w:line="360" w:lineRule="auto"/>
        <w:ind w:firstLine="477" w:firstLineChars="199"/>
        <w:rPr>
          <w:rFonts w:ascii="宋体" w:hAnsi="宋体" w:eastAsia="宋体" w:cs="宋体"/>
          <w:sz w:val="24"/>
        </w:rPr>
      </w:pPr>
      <w:r>
        <w:rPr>
          <w:rFonts w:hint="eastAsia" w:ascii="宋体" w:hAnsi="宋体" w:eastAsia="宋体" w:cs="宋体"/>
          <w:sz w:val="24"/>
        </w:rPr>
        <w:t>5.4 根据国家扶持中小企业的有关政策，采购项目中标人在履约过程中如遇到资金困难，凭政府采购合同在相关金融机构办理授信申请，相关事宜请查阅“镇江市公共资源交易服务平台---政府采购”网站。</w:t>
      </w:r>
    </w:p>
    <w:p w14:paraId="528119E9">
      <w:pPr>
        <w:spacing w:line="360" w:lineRule="auto"/>
        <w:ind w:firstLine="477" w:firstLineChars="199"/>
        <w:rPr>
          <w:rFonts w:ascii="宋体" w:hAnsi="宋体" w:eastAsia="宋体" w:cs="宋体"/>
          <w:sz w:val="24"/>
        </w:rPr>
      </w:pPr>
      <w:r>
        <w:rPr>
          <w:rFonts w:hint="eastAsia" w:ascii="宋体" w:hAnsi="宋体" w:eastAsia="宋体" w:cs="宋体"/>
          <w:sz w:val="24"/>
        </w:rPr>
        <w:t>5.5支持创新发展</w:t>
      </w:r>
    </w:p>
    <w:p w14:paraId="3DCBDD75">
      <w:pPr>
        <w:spacing w:line="360" w:lineRule="auto"/>
        <w:ind w:firstLine="477" w:firstLineChars="199"/>
        <w:rPr>
          <w:rFonts w:ascii="宋体" w:hAnsi="宋体" w:eastAsia="宋体" w:cs="宋体"/>
          <w:sz w:val="24"/>
        </w:rPr>
      </w:pPr>
      <w:r>
        <w:rPr>
          <w:rFonts w:hint="eastAsia" w:ascii="宋体" w:hAnsi="宋体" w:eastAsia="宋体" w:cs="宋体"/>
          <w:sz w:val="24"/>
        </w:rPr>
        <w:t>5.5.1采购人优先采购被认定为重点推广应用、首台（套）重大装备、重点领域首版次软件的自主创新产品。</w:t>
      </w:r>
    </w:p>
    <w:p w14:paraId="50FB94DD">
      <w:pPr>
        <w:spacing w:line="360" w:lineRule="auto"/>
        <w:ind w:firstLine="477" w:firstLineChars="199"/>
        <w:rPr>
          <w:rFonts w:ascii="宋体" w:hAnsi="宋体" w:eastAsia="宋体" w:cs="宋体"/>
          <w:sz w:val="24"/>
        </w:rPr>
      </w:pPr>
      <w:r>
        <w:rPr>
          <w:rFonts w:hint="eastAsia" w:ascii="宋体" w:hAnsi="宋体" w:eastAsia="宋体" w:cs="宋体"/>
          <w:sz w:val="24"/>
        </w:rPr>
        <w:t>5.6平等对待内外资企业和符合条件的破产重整企业</w:t>
      </w:r>
    </w:p>
    <w:p w14:paraId="5E8AC770">
      <w:pPr>
        <w:spacing w:line="360" w:lineRule="auto"/>
        <w:ind w:firstLine="477" w:firstLineChars="199"/>
        <w:rPr>
          <w:rFonts w:ascii="宋体" w:hAnsi="宋体" w:eastAsia="宋体" w:cs="宋体"/>
          <w:sz w:val="24"/>
        </w:rPr>
      </w:pPr>
      <w:r>
        <w:rPr>
          <w:rFonts w:hint="eastAsia" w:ascii="宋体" w:hAnsi="宋体" w:eastAsia="宋体" w:cs="宋体"/>
          <w:sz w:val="24"/>
        </w:rPr>
        <w:t>5.6.1平等对待内外资企业和符合条件的破产重整企业，切实保障企业公平竞争，平等维护企业的合法利益。</w:t>
      </w:r>
    </w:p>
    <w:p w14:paraId="0D11F5C6">
      <w:pPr>
        <w:pStyle w:val="3"/>
        <w:spacing w:before="405" w:beforeLines="130" w:after="405" w:afterLines="130" w:line="360" w:lineRule="auto"/>
        <w:jc w:val="center"/>
      </w:pPr>
      <w:bookmarkStart w:id="32" w:name="_Toc211511423"/>
      <w:r>
        <w:t>二、磋商文件</w:t>
      </w:r>
      <w:bookmarkEnd w:id="32"/>
    </w:p>
    <w:p w14:paraId="050E577E">
      <w:pPr>
        <w:pStyle w:val="4"/>
        <w:spacing w:line="360" w:lineRule="auto"/>
        <w:rPr>
          <w:rFonts w:ascii="宋体" w:hAnsi="宋体" w:eastAsia="宋体" w:cs="宋体"/>
          <w:sz w:val="24"/>
        </w:rPr>
      </w:pPr>
      <w:bookmarkStart w:id="33" w:name="_Toc211511424"/>
      <w:r>
        <w:rPr>
          <w:rFonts w:ascii="宋体" w:hAnsi="宋体" w:eastAsia="宋体" w:cs="宋体"/>
          <w:sz w:val="24"/>
        </w:rPr>
        <w:t>6.磋商文件组成</w:t>
      </w:r>
      <w:bookmarkEnd w:id="33"/>
    </w:p>
    <w:p w14:paraId="123F36D9">
      <w:pPr>
        <w:spacing w:line="360" w:lineRule="auto"/>
        <w:ind w:firstLine="480" w:firstLineChars="200"/>
        <w:jc w:val="left"/>
        <w:rPr>
          <w:rFonts w:ascii="宋体" w:hAnsi="宋体" w:eastAsia="宋体" w:cs="宋体"/>
          <w:sz w:val="24"/>
        </w:rPr>
      </w:pPr>
    </w:p>
    <w:p w14:paraId="1E27CD8B">
      <w:pPr>
        <w:spacing w:line="360" w:lineRule="auto"/>
        <w:ind w:firstLine="480" w:firstLineChars="200"/>
        <w:jc w:val="left"/>
        <w:rPr>
          <w:rFonts w:ascii="宋体" w:hAnsi="宋体" w:eastAsia="宋体" w:cs="宋体"/>
          <w:sz w:val="24"/>
        </w:rPr>
      </w:pPr>
      <w:r>
        <w:rPr>
          <w:rFonts w:ascii="宋体" w:hAnsi="宋体" w:eastAsia="宋体" w:cs="宋体"/>
          <w:sz w:val="24"/>
        </w:rPr>
        <w:t>6.1磋商文件包括：</w:t>
      </w:r>
    </w:p>
    <w:p w14:paraId="78051580">
      <w:pPr>
        <w:spacing w:line="360" w:lineRule="auto"/>
        <w:ind w:firstLine="480" w:firstLineChars="200"/>
        <w:jc w:val="left"/>
        <w:rPr>
          <w:rFonts w:ascii="宋体" w:hAnsi="宋体" w:eastAsia="宋体" w:cs="宋体"/>
          <w:sz w:val="24"/>
        </w:rPr>
      </w:pPr>
      <w:r>
        <w:rPr>
          <w:rFonts w:ascii="宋体" w:hAnsi="宋体" w:eastAsia="宋体" w:cs="宋体"/>
          <w:sz w:val="24"/>
        </w:rPr>
        <w:t>(1)磋商邀请</w:t>
      </w:r>
    </w:p>
    <w:p w14:paraId="7616BEB1">
      <w:pPr>
        <w:spacing w:line="360" w:lineRule="auto"/>
        <w:ind w:firstLine="480" w:firstLineChars="200"/>
        <w:jc w:val="left"/>
        <w:rPr>
          <w:rFonts w:ascii="宋体" w:hAnsi="宋体" w:eastAsia="宋体" w:cs="宋体"/>
          <w:sz w:val="24"/>
        </w:rPr>
      </w:pPr>
      <w:r>
        <w:rPr>
          <w:rFonts w:ascii="宋体" w:hAnsi="宋体" w:eastAsia="宋体" w:cs="宋体"/>
          <w:sz w:val="24"/>
        </w:rPr>
        <w:t>(2)供应商须知</w:t>
      </w:r>
    </w:p>
    <w:p w14:paraId="619E7B6B">
      <w:pPr>
        <w:spacing w:line="360" w:lineRule="auto"/>
        <w:ind w:firstLine="480" w:firstLineChars="200"/>
        <w:jc w:val="left"/>
        <w:rPr>
          <w:rFonts w:ascii="宋体" w:hAnsi="宋体" w:eastAsia="宋体" w:cs="宋体"/>
          <w:sz w:val="24"/>
        </w:rPr>
      </w:pPr>
      <w:r>
        <w:rPr>
          <w:rFonts w:ascii="宋体" w:hAnsi="宋体" w:eastAsia="宋体" w:cs="宋体"/>
          <w:sz w:val="24"/>
        </w:rPr>
        <w:t>(3)合同</w:t>
      </w:r>
    </w:p>
    <w:p w14:paraId="17F1A019">
      <w:pPr>
        <w:spacing w:line="360" w:lineRule="auto"/>
        <w:ind w:firstLine="480" w:firstLineChars="200"/>
        <w:jc w:val="left"/>
        <w:rPr>
          <w:rFonts w:ascii="宋体" w:hAnsi="宋体" w:eastAsia="宋体" w:cs="宋体"/>
          <w:sz w:val="24"/>
        </w:rPr>
      </w:pPr>
      <w:r>
        <w:rPr>
          <w:rFonts w:ascii="宋体" w:hAnsi="宋体" w:eastAsia="宋体" w:cs="宋体"/>
          <w:sz w:val="24"/>
        </w:rPr>
        <w:t>(4)采购需求</w:t>
      </w:r>
    </w:p>
    <w:p w14:paraId="2B97ABF6">
      <w:pPr>
        <w:spacing w:line="360" w:lineRule="auto"/>
        <w:ind w:firstLine="480" w:firstLineChars="200"/>
        <w:jc w:val="left"/>
        <w:rPr>
          <w:rFonts w:ascii="宋体" w:hAnsi="宋体" w:eastAsia="宋体" w:cs="宋体"/>
          <w:sz w:val="24"/>
        </w:rPr>
      </w:pPr>
      <w:r>
        <w:rPr>
          <w:rFonts w:ascii="宋体" w:hAnsi="宋体" w:eastAsia="宋体" w:cs="宋体"/>
          <w:sz w:val="24"/>
        </w:rPr>
        <w:t>(5)评审办法和标准</w:t>
      </w:r>
    </w:p>
    <w:p w14:paraId="74ACBDC7">
      <w:pPr>
        <w:spacing w:line="360" w:lineRule="auto"/>
        <w:ind w:firstLine="480" w:firstLineChars="200"/>
        <w:jc w:val="left"/>
        <w:rPr>
          <w:rFonts w:ascii="宋体" w:hAnsi="宋体" w:eastAsia="宋体" w:cs="宋体"/>
          <w:sz w:val="24"/>
        </w:rPr>
      </w:pPr>
      <w:r>
        <w:rPr>
          <w:rFonts w:ascii="宋体" w:hAnsi="宋体" w:eastAsia="宋体" w:cs="宋体"/>
          <w:sz w:val="24"/>
        </w:rPr>
        <w:t>(6)磋商响应文件(格式)</w:t>
      </w:r>
    </w:p>
    <w:p w14:paraId="21F96B17">
      <w:pPr>
        <w:spacing w:line="360" w:lineRule="auto"/>
        <w:ind w:firstLine="480" w:firstLineChars="200"/>
        <w:jc w:val="left"/>
        <w:rPr>
          <w:rFonts w:ascii="宋体" w:hAnsi="宋体" w:eastAsia="宋体" w:cs="宋体"/>
          <w:sz w:val="24"/>
        </w:rPr>
      </w:pPr>
      <w:r>
        <w:rPr>
          <w:rFonts w:ascii="宋体" w:hAnsi="宋体" w:eastAsia="宋体" w:cs="宋体"/>
          <w:sz w:val="24"/>
        </w:rPr>
        <w:t>6.2供应商获取本文件后，应认真阅读本文件中所有的事项、格式条款和规范等要求。</w:t>
      </w:r>
    </w:p>
    <w:p w14:paraId="788E0521">
      <w:pPr>
        <w:spacing w:line="360" w:lineRule="auto"/>
        <w:ind w:firstLine="480" w:firstLineChars="200"/>
        <w:jc w:val="left"/>
        <w:rPr>
          <w:rFonts w:ascii="宋体" w:hAnsi="宋体" w:eastAsia="宋体" w:cs="宋体"/>
          <w:sz w:val="24"/>
        </w:rPr>
      </w:pPr>
      <w:r>
        <w:rPr>
          <w:rFonts w:ascii="宋体" w:hAnsi="宋体" w:eastAsia="宋体" w:cs="宋体"/>
          <w:sz w:val="24"/>
        </w:rPr>
        <w:t>6.3</w:t>
      </w:r>
      <w:r>
        <w:rPr>
          <w:rFonts w:ascii="宋体" w:hAnsi="宋体" w:eastAsia="宋体" w:cs="宋体"/>
          <w:b/>
          <w:bCs/>
          <w:sz w:val="24"/>
          <w:u w:val="single"/>
        </w:rPr>
        <w:t>除非有特殊要求，磋商文件不单独提供标的所在地自然环境、气象条件、公用设施等情况，供应商被视为熟悉上述与签订和履行合同有关的一切情况。</w:t>
      </w:r>
    </w:p>
    <w:p w14:paraId="7B67B088"/>
    <w:p w14:paraId="53EC40D3">
      <w:pPr>
        <w:pStyle w:val="4"/>
        <w:spacing w:line="360" w:lineRule="auto"/>
        <w:rPr>
          <w:rFonts w:ascii="宋体" w:hAnsi="宋体" w:eastAsia="宋体" w:cs="宋体"/>
          <w:sz w:val="24"/>
        </w:rPr>
      </w:pPr>
      <w:bookmarkStart w:id="34" w:name="_Toc211511425"/>
      <w:r>
        <w:rPr>
          <w:rFonts w:ascii="宋体" w:hAnsi="宋体" w:eastAsia="宋体" w:cs="宋体"/>
          <w:sz w:val="24"/>
        </w:rPr>
        <w:t>7.磋商文件的澄清和修改</w:t>
      </w:r>
      <w:bookmarkEnd w:id="34"/>
    </w:p>
    <w:p w14:paraId="246B04B9">
      <w:pPr>
        <w:spacing w:line="360" w:lineRule="auto"/>
        <w:ind w:firstLine="480" w:firstLineChars="200"/>
        <w:jc w:val="left"/>
        <w:rPr>
          <w:rFonts w:ascii="宋体" w:hAnsi="宋体" w:eastAsia="宋体" w:cs="宋体"/>
          <w:sz w:val="24"/>
        </w:rPr>
      </w:pPr>
      <w:r>
        <w:rPr>
          <w:rFonts w:ascii="宋体" w:hAnsi="宋体" w:eastAsia="宋体" w:cs="宋体"/>
          <w:sz w:val="24"/>
        </w:rPr>
        <w:t>7.1任何要求对磋商文件进行澄清的供应商，应及时联系项目联系人。</w:t>
      </w:r>
    </w:p>
    <w:p w14:paraId="38A0F01E">
      <w:pPr>
        <w:spacing w:line="360" w:lineRule="auto"/>
        <w:ind w:firstLine="482" w:firstLineChars="200"/>
        <w:jc w:val="left"/>
        <w:rPr>
          <w:rFonts w:ascii="宋体" w:hAnsi="宋体" w:eastAsia="宋体" w:cs="宋体"/>
          <w:sz w:val="24"/>
        </w:rPr>
      </w:pPr>
      <w:r>
        <w:rPr>
          <w:rFonts w:ascii="宋体" w:hAnsi="宋体" w:eastAsia="宋体" w:cs="宋体"/>
          <w:b/>
          <w:bCs/>
          <w:sz w:val="24"/>
        </w:rPr>
        <w:t>7.2按照权责相一致原则，供应商提出的对于磋商文件主要商务、技术指标的相关澄清、修改要求，由采购人负责答复并视情况作出澄清或修改的决定。</w:t>
      </w:r>
    </w:p>
    <w:p w14:paraId="1128909C">
      <w:pPr>
        <w:spacing w:line="360" w:lineRule="auto"/>
        <w:ind w:firstLine="480" w:firstLineChars="200"/>
        <w:jc w:val="left"/>
        <w:rPr>
          <w:rFonts w:ascii="宋体" w:hAnsi="宋体" w:eastAsia="宋体" w:cs="宋体"/>
          <w:sz w:val="24"/>
        </w:rPr>
      </w:pPr>
      <w:r>
        <w:rPr>
          <w:rFonts w:ascii="宋体" w:hAnsi="宋体" w:eastAsia="宋体" w:cs="宋体"/>
          <w:sz w:val="24"/>
        </w:rPr>
        <w:t>7.3磋商组织方可以对已发出的磋商文件进行必要的澄清或者修改。澄清或者修改将在“</w:t>
      </w:r>
      <w:r>
        <w:rPr>
          <w:rFonts w:hint="eastAsia" w:ascii="宋体" w:hAnsi="宋体" w:eastAsia="宋体" w:cs="宋体"/>
          <w:sz w:val="24"/>
        </w:rPr>
        <w:t>江苏省政府采购网</w:t>
      </w:r>
      <w:r>
        <w:rPr>
          <w:rFonts w:ascii="宋体" w:hAnsi="宋体" w:eastAsia="宋体" w:cs="宋体"/>
          <w:sz w:val="24"/>
        </w:rPr>
        <w:t>”网站上发布澄清公告。澄清或者修改的内容为磋商文件的组成部分。</w:t>
      </w:r>
    </w:p>
    <w:p w14:paraId="5C405EC0">
      <w:pPr>
        <w:spacing w:line="360" w:lineRule="auto"/>
        <w:ind w:firstLine="480" w:firstLineChars="200"/>
        <w:jc w:val="left"/>
        <w:rPr>
          <w:rFonts w:ascii="宋体" w:hAnsi="宋体" w:eastAsia="宋体" w:cs="宋体"/>
          <w:sz w:val="24"/>
        </w:rPr>
      </w:pPr>
      <w:r>
        <w:rPr>
          <w:rFonts w:ascii="宋体" w:hAnsi="宋体" w:eastAsia="宋体" w:cs="宋体"/>
          <w:sz w:val="24"/>
        </w:rPr>
        <w:t>7.4澄清或者修改的内容可能影响磋商响应文件编制的，磋商组织方将在磋商截止时间至少5日前，在系统中以书面形式通知所有已获取磋商文件的潜在供应商，供应商请登录系统查看相应内容；不足5日的，磋商组织方将顺延提交首次磋商响应文件的截止时间。</w:t>
      </w:r>
    </w:p>
    <w:p w14:paraId="2C7FE0CA">
      <w:pPr>
        <w:spacing w:line="360" w:lineRule="auto"/>
        <w:ind w:firstLine="482" w:firstLineChars="200"/>
        <w:jc w:val="left"/>
        <w:rPr>
          <w:rFonts w:ascii="宋体" w:hAnsi="宋体" w:eastAsia="宋体" w:cs="宋体"/>
          <w:b/>
          <w:bCs/>
          <w:sz w:val="24"/>
        </w:rPr>
      </w:pPr>
      <w:r>
        <w:rPr>
          <w:rFonts w:ascii="宋体" w:hAnsi="宋体" w:eastAsia="宋体" w:cs="宋体"/>
          <w:b/>
          <w:bCs/>
          <w:sz w:val="24"/>
        </w:rPr>
        <w:t>7.5如澄清或修改公告有重新发布电子磋商文件的，供应商应下载最新发布的电子磋商文件制作响应文件。因供应商自身原因未能及时获取的，一切后果由供应商自行承担。</w:t>
      </w:r>
    </w:p>
    <w:p w14:paraId="40DF7495">
      <w:pPr>
        <w:pStyle w:val="3"/>
        <w:spacing w:before="405" w:beforeLines="130" w:after="405" w:afterLines="130" w:line="360" w:lineRule="auto"/>
        <w:jc w:val="center"/>
      </w:pPr>
      <w:bookmarkStart w:id="35" w:name="_Toc211511426"/>
      <w:r>
        <w:t>三、磋商响应文件</w:t>
      </w:r>
      <w:bookmarkEnd w:id="35"/>
    </w:p>
    <w:p w14:paraId="578851BE">
      <w:pPr>
        <w:pStyle w:val="4"/>
        <w:spacing w:line="360" w:lineRule="auto"/>
        <w:rPr>
          <w:rFonts w:ascii="宋体" w:hAnsi="宋体" w:eastAsia="宋体" w:cs="宋体"/>
          <w:sz w:val="24"/>
        </w:rPr>
      </w:pPr>
      <w:bookmarkStart w:id="36" w:name="_Toc211511427"/>
      <w:r>
        <w:rPr>
          <w:rFonts w:ascii="宋体" w:hAnsi="宋体" w:eastAsia="宋体" w:cs="宋体"/>
          <w:sz w:val="24"/>
        </w:rPr>
        <w:t>8.编制响应文件的工具</w:t>
      </w:r>
      <w:bookmarkEnd w:id="36"/>
    </w:p>
    <w:p w14:paraId="23B4C928">
      <w:pPr>
        <w:spacing w:line="360" w:lineRule="auto"/>
        <w:ind w:firstLine="480" w:firstLineChars="200"/>
        <w:jc w:val="left"/>
        <w:rPr>
          <w:rFonts w:ascii="宋体" w:hAnsi="宋体" w:eastAsia="宋体" w:cs="宋体"/>
          <w:sz w:val="24"/>
        </w:rPr>
      </w:pPr>
    </w:p>
    <w:p w14:paraId="6995C2EB">
      <w:pPr>
        <w:spacing w:line="360" w:lineRule="auto"/>
        <w:ind w:firstLine="480" w:firstLineChars="200"/>
        <w:jc w:val="left"/>
        <w:rPr>
          <w:rFonts w:ascii="宋体" w:hAnsi="宋体" w:eastAsia="宋体" w:cs="宋体"/>
          <w:sz w:val="24"/>
        </w:rPr>
      </w:pPr>
      <w:r>
        <w:rPr>
          <w:rFonts w:ascii="宋体" w:hAnsi="宋体" w:eastAsia="宋体" w:cs="宋体"/>
          <w:sz w:val="24"/>
        </w:rPr>
        <w:t>8.1供应商须通过</w:t>
      </w:r>
      <w:r>
        <w:rPr>
          <w:sz w:val="24"/>
        </w:rPr>
        <w:t>“苏采云</w:t>
      </w:r>
      <w:r>
        <w:rPr>
          <w:rFonts w:hint="eastAsia"/>
          <w:sz w:val="24"/>
        </w:rPr>
        <w:t>（政府采购一体化平台）</w:t>
      </w:r>
      <w:r>
        <w:rPr>
          <w:sz w:val="24"/>
        </w:rPr>
        <w:t>”</w:t>
      </w:r>
      <w:r>
        <w:rPr>
          <w:rFonts w:ascii="宋体" w:hAnsi="宋体" w:eastAsia="宋体" w:cs="宋体"/>
          <w:sz w:val="24"/>
        </w:rPr>
        <w:t>提供的最新响应文件制作软件编制响应文件。</w:t>
      </w:r>
    </w:p>
    <w:p w14:paraId="3163A4D6">
      <w:pPr>
        <w:spacing w:line="360" w:lineRule="auto"/>
        <w:ind w:firstLine="480" w:firstLineChars="200"/>
        <w:jc w:val="left"/>
        <w:rPr>
          <w:rFonts w:ascii="宋体" w:hAnsi="宋体" w:eastAsia="宋体" w:cs="宋体"/>
          <w:sz w:val="24"/>
        </w:rPr>
      </w:pPr>
    </w:p>
    <w:p w14:paraId="56B77C0F">
      <w:pPr>
        <w:pStyle w:val="4"/>
        <w:spacing w:line="360" w:lineRule="auto"/>
        <w:rPr>
          <w:rFonts w:ascii="宋体" w:hAnsi="宋体" w:eastAsia="宋体" w:cs="宋体"/>
          <w:sz w:val="24"/>
        </w:rPr>
      </w:pPr>
      <w:bookmarkStart w:id="37" w:name="_Toc211511428"/>
      <w:r>
        <w:rPr>
          <w:rFonts w:ascii="宋体" w:hAnsi="宋体" w:eastAsia="宋体" w:cs="宋体"/>
          <w:sz w:val="24"/>
        </w:rPr>
        <w:t>9.响应文件语言及度量衡单位</w:t>
      </w:r>
      <w:bookmarkEnd w:id="37"/>
    </w:p>
    <w:p w14:paraId="581F2EE1">
      <w:pPr>
        <w:spacing w:line="360" w:lineRule="auto"/>
        <w:ind w:firstLine="480" w:firstLineChars="200"/>
        <w:jc w:val="left"/>
        <w:rPr>
          <w:rFonts w:ascii="宋体" w:hAnsi="宋体" w:eastAsia="宋体" w:cs="宋体"/>
          <w:sz w:val="24"/>
        </w:rPr>
      </w:pPr>
    </w:p>
    <w:p w14:paraId="3F564900">
      <w:pPr>
        <w:spacing w:line="360" w:lineRule="auto"/>
        <w:ind w:firstLine="480" w:firstLineChars="200"/>
        <w:jc w:val="left"/>
        <w:rPr>
          <w:rFonts w:ascii="宋体" w:hAnsi="宋体" w:eastAsia="宋体" w:cs="宋体"/>
          <w:sz w:val="24"/>
        </w:rPr>
      </w:pPr>
      <w:r>
        <w:rPr>
          <w:rFonts w:ascii="宋体" w:hAnsi="宋体" w:eastAsia="宋体" w:cs="宋体"/>
          <w:sz w:val="24"/>
        </w:rPr>
        <w:t>9.1供应商的响应文件以及供应商就有关磋商的所有来往通知、函件和文件均应使用简体中文。供应商提交的支持性文件可以使用另一种语言，但相应内容应翻译成中文，在解释响应文件时以中文文本为准。</w:t>
      </w:r>
    </w:p>
    <w:p w14:paraId="6C3B67FA">
      <w:pPr>
        <w:spacing w:line="360" w:lineRule="auto"/>
        <w:ind w:firstLine="480" w:firstLineChars="200"/>
        <w:jc w:val="left"/>
        <w:rPr>
          <w:rFonts w:ascii="宋体" w:hAnsi="宋体" w:eastAsia="宋体" w:cs="宋体"/>
          <w:sz w:val="24"/>
        </w:rPr>
      </w:pPr>
      <w:r>
        <w:rPr>
          <w:rFonts w:ascii="宋体" w:hAnsi="宋体" w:eastAsia="宋体" w:cs="宋体"/>
          <w:sz w:val="24"/>
        </w:rPr>
        <w:t>9.2响应文件中所使用的计量单位除磋商文件中另有特殊规定外，一律使用法定计量单位。</w:t>
      </w:r>
    </w:p>
    <w:p w14:paraId="286E3558">
      <w:pPr>
        <w:pStyle w:val="4"/>
        <w:spacing w:line="360" w:lineRule="auto"/>
        <w:rPr>
          <w:rFonts w:ascii="宋体" w:hAnsi="宋体" w:eastAsia="宋体" w:cs="宋体"/>
          <w:sz w:val="24"/>
        </w:rPr>
      </w:pPr>
      <w:bookmarkStart w:id="38" w:name="_Toc211511429"/>
      <w:r>
        <w:rPr>
          <w:rFonts w:ascii="宋体" w:hAnsi="宋体" w:eastAsia="宋体" w:cs="宋体"/>
          <w:sz w:val="24"/>
        </w:rPr>
        <w:t>10.响应文件的构成</w:t>
      </w:r>
      <w:bookmarkEnd w:id="38"/>
    </w:p>
    <w:p w14:paraId="2701468A">
      <w:pPr>
        <w:spacing w:line="360" w:lineRule="auto"/>
        <w:ind w:firstLine="480" w:firstLineChars="200"/>
        <w:jc w:val="left"/>
        <w:rPr>
          <w:rFonts w:ascii="宋体" w:hAnsi="宋体" w:eastAsia="宋体" w:cs="宋体"/>
          <w:sz w:val="24"/>
        </w:rPr>
      </w:pPr>
    </w:p>
    <w:p w14:paraId="76FBE03D">
      <w:pPr>
        <w:spacing w:line="360" w:lineRule="auto"/>
        <w:ind w:firstLine="480" w:firstLineChars="200"/>
        <w:jc w:val="left"/>
        <w:rPr>
          <w:rFonts w:ascii="宋体" w:hAnsi="宋体" w:eastAsia="宋体" w:cs="宋体"/>
          <w:sz w:val="24"/>
        </w:rPr>
      </w:pPr>
      <w:r>
        <w:rPr>
          <w:rFonts w:ascii="宋体" w:hAnsi="宋体" w:eastAsia="宋体" w:cs="宋体"/>
          <w:sz w:val="24"/>
        </w:rPr>
        <w:t>10.1响应文件分为资格部分、商务部分和技术部分。</w:t>
      </w:r>
    </w:p>
    <w:p w14:paraId="37D688A2">
      <w:pPr>
        <w:spacing w:line="360" w:lineRule="auto"/>
        <w:ind w:firstLine="480" w:firstLineChars="200"/>
        <w:jc w:val="left"/>
        <w:rPr>
          <w:rFonts w:ascii="宋体" w:hAnsi="宋体" w:eastAsia="宋体" w:cs="宋体"/>
          <w:sz w:val="24"/>
        </w:rPr>
      </w:pPr>
      <w:r>
        <w:rPr>
          <w:rFonts w:ascii="宋体" w:hAnsi="宋体" w:eastAsia="宋体" w:cs="宋体"/>
          <w:sz w:val="24"/>
        </w:rPr>
        <w:t>10.2资格部分系指供应商提交的证明其有资格参加磋商的文件。</w:t>
      </w:r>
    </w:p>
    <w:p w14:paraId="3C448E16">
      <w:pPr>
        <w:spacing w:line="360" w:lineRule="auto"/>
        <w:ind w:firstLine="480" w:firstLineChars="200"/>
        <w:jc w:val="left"/>
        <w:rPr>
          <w:rFonts w:ascii="宋体" w:hAnsi="宋体" w:eastAsia="宋体" w:cs="宋体"/>
          <w:sz w:val="24"/>
        </w:rPr>
      </w:pPr>
      <w:r>
        <w:rPr>
          <w:rFonts w:ascii="宋体" w:hAnsi="宋体" w:eastAsia="宋体" w:cs="宋体"/>
          <w:sz w:val="24"/>
        </w:rPr>
        <w:t>10.3商务部分系指供应商提交的证明其成交后有能力履行合同的文件。</w:t>
      </w:r>
    </w:p>
    <w:p w14:paraId="2D0BB6AA">
      <w:pPr>
        <w:spacing w:line="360" w:lineRule="auto"/>
        <w:ind w:firstLine="480" w:firstLineChars="200"/>
        <w:jc w:val="left"/>
        <w:rPr>
          <w:rFonts w:ascii="宋体" w:hAnsi="宋体" w:eastAsia="宋体" w:cs="宋体"/>
          <w:sz w:val="24"/>
        </w:rPr>
      </w:pPr>
      <w:r>
        <w:rPr>
          <w:rFonts w:ascii="宋体" w:hAnsi="宋体" w:eastAsia="宋体" w:cs="宋体"/>
          <w:sz w:val="24"/>
        </w:rPr>
        <w:t>10.4技术部分系指供应商提交的能够证明其提供的服务(货物)符合磋商文件规定的文件。</w:t>
      </w:r>
    </w:p>
    <w:p w14:paraId="356B54FA">
      <w:pPr>
        <w:spacing w:line="360" w:lineRule="auto"/>
        <w:ind w:firstLine="480" w:firstLineChars="200"/>
        <w:jc w:val="left"/>
        <w:rPr>
          <w:rFonts w:ascii="宋体" w:hAnsi="宋体" w:eastAsia="宋体" w:cs="宋体"/>
          <w:sz w:val="24"/>
        </w:rPr>
      </w:pPr>
      <w:r>
        <w:rPr>
          <w:rFonts w:ascii="宋体" w:hAnsi="宋体" w:eastAsia="宋体" w:cs="宋体"/>
          <w:sz w:val="24"/>
        </w:rPr>
        <w:t>10.5具体填写格式详见磋商文件第六部分。</w:t>
      </w:r>
    </w:p>
    <w:p w14:paraId="71A7BDA7">
      <w:pPr>
        <w:spacing w:line="360" w:lineRule="auto"/>
        <w:ind w:firstLine="480" w:firstLineChars="200"/>
        <w:jc w:val="left"/>
        <w:rPr>
          <w:rFonts w:ascii="宋体" w:hAnsi="宋体" w:eastAsia="宋体" w:cs="宋体"/>
          <w:sz w:val="24"/>
        </w:rPr>
      </w:pPr>
    </w:p>
    <w:p w14:paraId="4B23B0C5">
      <w:pPr>
        <w:pStyle w:val="4"/>
        <w:spacing w:line="360" w:lineRule="auto"/>
        <w:rPr>
          <w:rFonts w:ascii="宋体" w:hAnsi="宋体" w:eastAsia="宋体" w:cs="宋体"/>
          <w:sz w:val="24"/>
        </w:rPr>
      </w:pPr>
      <w:bookmarkStart w:id="39" w:name="_Toc211511430"/>
      <w:r>
        <w:rPr>
          <w:rFonts w:ascii="宋体" w:hAnsi="宋体" w:eastAsia="宋体" w:cs="宋体"/>
          <w:sz w:val="24"/>
        </w:rPr>
        <w:t>11.响应文件的编写</w:t>
      </w:r>
      <w:bookmarkEnd w:id="39"/>
    </w:p>
    <w:p w14:paraId="33414E35">
      <w:pPr>
        <w:spacing w:line="360" w:lineRule="auto"/>
        <w:ind w:firstLine="480" w:firstLineChars="200"/>
        <w:jc w:val="left"/>
        <w:rPr>
          <w:rFonts w:ascii="宋体" w:hAnsi="宋体" w:eastAsia="宋体" w:cs="宋体"/>
          <w:sz w:val="24"/>
        </w:rPr>
      </w:pPr>
    </w:p>
    <w:p w14:paraId="6B621C85">
      <w:pPr>
        <w:spacing w:line="360" w:lineRule="auto"/>
        <w:ind w:firstLine="480" w:firstLineChars="200"/>
        <w:jc w:val="left"/>
        <w:rPr>
          <w:rFonts w:ascii="宋体" w:hAnsi="宋体" w:eastAsia="宋体" w:cs="宋体"/>
          <w:sz w:val="24"/>
        </w:rPr>
      </w:pPr>
      <w:r>
        <w:rPr>
          <w:rFonts w:ascii="宋体" w:hAnsi="宋体" w:eastAsia="宋体" w:cs="宋体"/>
          <w:sz w:val="24"/>
        </w:rPr>
        <w:t>11.1供应商应仔细阅读磋商文件，按照磋商文件的要求编制响应文件。响应文件应当对磋商文件提出的要求和条件作出明确响应。</w:t>
      </w:r>
    </w:p>
    <w:p w14:paraId="2DED0F48">
      <w:pPr>
        <w:spacing w:line="360" w:lineRule="auto"/>
        <w:ind w:firstLine="480" w:firstLineChars="200"/>
        <w:jc w:val="left"/>
        <w:rPr>
          <w:rFonts w:ascii="宋体" w:hAnsi="宋体" w:eastAsia="宋体" w:cs="宋体"/>
          <w:sz w:val="24"/>
        </w:rPr>
      </w:pPr>
      <w:r>
        <w:rPr>
          <w:rFonts w:ascii="宋体" w:hAnsi="宋体" w:eastAsia="宋体" w:cs="宋体"/>
          <w:sz w:val="24"/>
        </w:rPr>
        <w:t>11.2供应商在编制响应文件时，各模块内容须填写或提交到对应位置，无相应内容可填的项应填写“无”、“没有相应指标”等明确的回答文字。</w:t>
      </w:r>
    </w:p>
    <w:p w14:paraId="7A700575">
      <w:pPr>
        <w:spacing w:line="360" w:lineRule="auto"/>
        <w:ind w:firstLine="480" w:firstLineChars="200"/>
        <w:jc w:val="left"/>
        <w:rPr>
          <w:rFonts w:ascii="宋体" w:hAnsi="宋体" w:eastAsia="宋体" w:cs="宋体"/>
          <w:sz w:val="24"/>
        </w:rPr>
      </w:pPr>
      <w:r>
        <w:rPr>
          <w:rFonts w:ascii="宋体" w:hAnsi="宋体" w:eastAsia="宋体" w:cs="宋体"/>
          <w:sz w:val="24"/>
        </w:rPr>
        <w:t>11.3响应文件编排混乱、文字表达不清或上传资料内容模糊所引起的不利后果，由供应商自行承担。</w:t>
      </w:r>
    </w:p>
    <w:p w14:paraId="368E6492">
      <w:pPr>
        <w:spacing w:line="360" w:lineRule="auto"/>
        <w:ind w:firstLine="480" w:firstLineChars="200"/>
        <w:jc w:val="left"/>
        <w:rPr>
          <w:rFonts w:ascii="宋体" w:hAnsi="宋体" w:eastAsia="宋体" w:cs="宋体"/>
          <w:sz w:val="24"/>
        </w:rPr>
      </w:pPr>
      <w:r>
        <w:rPr>
          <w:rFonts w:ascii="宋体" w:hAnsi="宋体" w:eastAsia="宋体" w:cs="宋体"/>
          <w:sz w:val="24"/>
        </w:rPr>
        <w:t>11.4供应商必须保证响应文件所提供的全部资料合法、真实、可靠。</w:t>
      </w:r>
    </w:p>
    <w:p w14:paraId="0FB513AD">
      <w:pPr>
        <w:spacing w:line="360" w:lineRule="auto"/>
        <w:ind w:firstLine="480" w:firstLineChars="200"/>
        <w:jc w:val="left"/>
        <w:rPr>
          <w:rFonts w:ascii="宋体" w:hAnsi="宋体" w:eastAsia="宋体" w:cs="宋体"/>
          <w:sz w:val="24"/>
        </w:rPr>
      </w:pPr>
    </w:p>
    <w:p w14:paraId="30C09722">
      <w:pPr>
        <w:pStyle w:val="4"/>
        <w:spacing w:line="360" w:lineRule="auto"/>
        <w:rPr>
          <w:rFonts w:ascii="宋体" w:hAnsi="宋体" w:eastAsia="宋体" w:cs="宋体"/>
          <w:sz w:val="24"/>
        </w:rPr>
      </w:pPr>
      <w:bookmarkStart w:id="40" w:name="_Toc211511431"/>
      <w:r>
        <w:rPr>
          <w:rFonts w:ascii="宋体" w:hAnsi="宋体" w:eastAsia="宋体" w:cs="宋体"/>
          <w:sz w:val="24"/>
        </w:rPr>
        <w:t>12.响应报价</w:t>
      </w:r>
      <w:bookmarkEnd w:id="40"/>
    </w:p>
    <w:p w14:paraId="6772D189">
      <w:pPr>
        <w:spacing w:line="360" w:lineRule="auto"/>
        <w:ind w:firstLine="480" w:firstLineChars="200"/>
        <w:jc w:val="left"/>
        <w:rPr>
          <w:rFonts w:ascii="宋体" w:hAnsi="宋体" w:eastAsia="宋体" w:cs="宋体"/>
          <w:sz w:val="24"/>
        </w:rPr>
      </w:pPr>
    </w:p>
    <w:p w14:paraId="3ADD5AF9">
      <w:pPr>
        <w:spacing w:line="360" w:lineRule="auto"/>
        <w:ind w:firstLine="480" w:firstLineChars="200"/>
        <w:jc w:val="left"/>
        <w:rPr>
          <w:rFonts w:ascii="宋体" w:hAnsi="宋体" w:eastAsia="宋体" w:cs="宋体"/>
          <w:sz w:val="24"/>
        </w:rPr>
      </w:pPr>
      <w:r>
        <w:rPr>
          <w:rFonts w:ascii="宋体" w:hAnsi="宋体" w:eastAsia="宋体" w:cs="宋体"/>
          <w:sz w:val="24"/>
        </w:rPr>
        <w:t>12.1磋商应以人民币报价(保留至小数点后2位，四舍五入)。</w:t>
      </w:r>
    </w:p>
    <w:p w14:paraId="58F7D301">
      <w:pPr>
        <w:spacing w:line="360" w:lineRule="auto"/>
        <w:ind w:firstLine="480" w:firstLineChars="200"/>
        <w:jc w:val="left"/>
        <w:rPr>
          <w:rFonts w:ascii="宋体" w:hAnsi="宋体" w:eastAsia="宋体" w:cs="宋体"/>
          <w:sz w:val="24"/>
        </w:rPr>
      </w:pPr>
      <w:r>
        <w:rPr>
          <w:rFonts w:ascii="宋体" w:hAnsi="宋体" w:eastAsia="宋体" w:cs="宋体"/>
          <w:sz w:val="24"/>
        </w:rPr>
        <w:t>12.2供应商应按磋商文件所提供的各报价表格式报价。</w:t>
      </w:r>
    </w:p>
    <w:p w14:paraId="3666B152">
      <w:pPr>
        <w:spacing w:line="360" w:lineRule="auto"/>
        <w:ind w:firstLine="480" w:firstLineChars="200"/>
        <w:jc w:val="left"/>
        <w:rPr>
          <w:rFonts w:ascii="宋体" w:hAnsi="宋体" w:eastAsia="宋体" w:cs="宋体"/>
          <w:sz w:val="24"/>
        </w:rPr>
      </w:pPr>
      <w:r>
        <w:rPr>
          <w:rFonts w:ascii="宋体" w:hAnsi="宋体" w:eastAsia="宋体" w:cs="宋体"/>
          <w:sz w:val="24"/>
        </w:rPr>
        <w:t>12.3供应商对本项目应报出最具有竞争力的价格，应包括本次磋商要求提供货物(服务)已支付或将支付的所有费用。</w:t>
      </w:r>
    </w:p>
    <w:p w14:paraId="1CAD561B">
      <w:pPr>
        <w:spacing w:line="360" w:lineRule="auto"/>
        <w:ind w:firstLine="480" w:firstLineChars="200"/>
        <w:jc w:val="left"/>
        <w:rPr>
          <w:rFonts w:ascii="宋体" w:hAnsi="宋体" w:eastAsia="宋体" w:cs="宋体"/>
          <w:sz w:val="24"/>
        </w:rPr>
      </w:pPr>
      <w:r>
        <w:rPr>
          <w:rFonts w:ascii="宋体" w:hAnsi="宋体" w:eastAsia="宋体" w:cs="宋体"/>
          <w:sz w:val="24"/>
        </w:rPr>
        <w:t>12.4供应商应按磋商文件的要求在响应文件里提供磋商首轮报价，并根据首轮报价在所附的首轮明细报价表上列明所提供货物及服务的明细报价。供应商需根据项目需求及自身经验填写明细报价。</w:t>
      </w:r>
    </w:p>
    <w:p w14:paraId="40CD0FF1">
      <w:pPr>
        <w:spacing w:line="360" w:lineRule="auto"/>
        <w:ind w:firstLine="480" w:firstLineChars="200"/>
        <w:jc w:val="left"/>
        <w:rPr>
          <w:rFonts w:ascii="宋体" w:hAnsi="宋体" w:eastAsia="宋体" w:cs="宋体"/>
          <w:sz w:val="24"/>
        </w:rPr>
      </w:pPr>
      <w:r>
        <w:rPr>
          <w:rFonts w:ascii="宋体" w:hAnsi="宋体" w:eastAsia="宋体" w:cs="宋体"/>
          <w:sz w:val="24"/>
        </w:rPr>
        <w:t>12.5在磋商过程中未对磋商内容作出实质性变更、修改的情况下，如最后报价超过首轮报价，则最后报价无效，以其首轮报价作为最终报价。</w:t>
      </w:r>
    </w:p>
    <w:p w14:paraId="15E96AFE">
      <w:pPr>
        <w:spacing w:line="360" w:lineRule="auto"/>
        <w:ind w:firstLine="480" w:firstLineChars="200"/>
        <w:jc w:val="left"/>
        <w:rPr>
          <w:rFonts w:ascii="宋体" w:hAnsi="宋体" w:eastAsia="宋体" w:cs="宋体"/>
          <w:sz w:val="24"/>
        </w:rPr>
      </w:pPr>
      <w:r>
        <w:rPr>
          <w:rFonts w:ascii="宋体" w:hAnsi="宋体" w:eastAsia="宋体" w:cs="宋体"/>
          <w:sz w:val="24"/>
        </w:rPr>
        <w:t>12.6最低磋商报价不能作为成交的唯一保证。</w:t>
      </w:r>
    </w:p>
    <w:p w14:paraId="36BA4EF7">
      <w:pPr>
        <w:spacing w:line="360" w:lineRule="auto"/>
        <w:ind w:firstLine="480" w:firstLineChars="200"/>
        <w:jc w:val="left"/>
        <w:rPr>
          <w:rFonts w:ascii="宋体" w:hAnsi="宋体" w:eastAsia="宋体" w:cs="宋体"/>
          <w:sz w:val="24"/>
        </w:rPr>
      </w:pPr>
      <w:r>
        <w:rPr>
          <w:rFonts w:ascii="宋体" w:hAnsi="宋体" w:eastAsia="宋体" w:cs="宋体"/>
          <w:sz w:val="24"/>
        </w:rPr>
        <w:t>12.7磋商最后报价即为合同签约价。</w:t>
      </w:r>
    </w:p>
    <w:p w14:paraId="24743884"/>
    <w:p w14:paraId="19A8F12E">
      <w:pPr>
        <w:pStyle w:val="4"/>
        <w:spacing w:line="360" w:lineRule="auto"/>
        <w:rPr>
          <w:rFonts w:ascii="宋体" w:hAnsi="宋体" w:eastAsia="宋体" w:cs="宋体"/>
          <w:sz w:val="24"/>
        </w:rPr>
      </w:pPr>
      <w:bookmarkStart w:id="41" w:name="_Toc211511432"/>
      <w:r>
        <w:rPr>
          <w:rFonts w:ascii="宋体" w:hAnsi="宋体" w:eastAsia="宋体" w:cs="宋体"/>
          <w:sz w:val="24"/>
        </w:rPr>
        <w:t>13.磋商保证金</w:t>
      </w:r>
      <w:bookmarkEnd w:id="41"/>
    </w:p>
    <w:p w14:paraId="07BEFAD7">
      <w:pPr>
        <w:spacing w:line="360" w:lineRule="auto"/>
        <w:ind w:firstLine="480" w:firstLineChars="200"/>
        <w:jc w:val="left"/>
        <w:rPr>
          <w:rFonts w:ascii="宋体" w:hAnsi="宋体" w:eastAsia="宋体" w:cs="宋体"/>
          <w:sz w:val="24"/>
        </w:rPr>
      </w:pPr>
      <w:r>
        <w:rPr>
          <w:rFonts w:ascii="宋体" w:hAnsi="宋体" w:eastAsia="宋体" w:cs="宋体"/>
          <w:sz w:val="24"/>
        </w:rPr>
        <w:t>13.1本项目不收磋商保证金。</w:t>
      </w:r>
    </w:p>
    <w:p w14:paraId="44A9AD40">
      <w:pPr>
        <w:spacing w:line="360" w:lineRule="auto"/>
        <w:ind w:firstLine="480" w:firstLineChars="200"/>
        <w:jc w:val="left"/>
        <w:rPr>
          <w:rFonts w:ascii="宋体" w:hAnsi="宋体" w:eastAsia="宋体" w:cs="宋体"/>
          <w:sz w:val="24"/>
        </w:rPr>
      </w:pPr>
    </w:p>
    <w:p w14:paraId="3C68367F">
      <w:pPr>
        <w:pStyle w:val="4"/>
        <w:spacing w:line="360" w:lineRule="auto"/>
        <w:rPr>
          <w:rFonts w:ascii="宋体" w:hAnsi="宋体" w:eastAsia="宋体" w:cs="宋体"/>
          <w:sz w:val="24"/>
        </w:rPr>
      </w:pPr>
      <w:bookmarkStart w:id="42" w:name="_Toc211511433"/>
      <w:r>
        <w:rPr>
          <w:rFonts w:ascii="宋体" w:hAnsi="宋体" w:eastAsia="宋体" w:cs="宋体"/>
          <w:sz w:val="24"/>
        </w:rPr>
        <w:t>14.磋商响应有效期</w:t>
      </w:r>
      <w:bookmarkEnd w:id="42"/>
    </w:p>
    <w:p w14:paraId="04FF77D0">
      <w:pPr>
        <w:spacing w:line="360" w:lineRule="auto"/>
        <w:ind w:firstLine="480" w:firstLineChars="200"/>
        <w:jc w:val="left"/>
        <w:rPr>
          <w:rFonts w:ascii="宋体" w:hAnsi="宋体" w:eastAsia="宋体" w:cs="宋体"/>
          <w:sz w:val="24"/>
        </w:rPr>
      </w:pPr>
    </w:p>
    <w:p w14:paraId="57A41996">
      <w:pPr>
        <w:spacing w:line="360" w:lineRule="auto"/>
        <w:ind w:firstLine="480" w:firstLineChars="200"/>
        <w:jc w:val="left"/>
        <w:rPr>
          <w:rFonts w:ascii="宋体" w:hAnsi="宋体" w:eastAsia="宋体" w:cs="宋体"/>
          <w:sz w:val="24"/>
        </w:rPr>
      </w:pPr>
      <w:r>
        <w:rPr>
          <w:rFonts w:ascii="宋体" w:hAnsi="宋体" w:eastAsia="宋体" w:cs="宋体"/>
          <w:sz w:val="24"/>
        </w:rPr>
        <w:t>14.1磋商有效期为：磋商响应文件自磋商之日起45天内有效。供应商一旦领取了本</w:t>
      </w:r>
    </w:p>
    <w:p w14:paraId="4D768415">
      <w:pPr>
        <w:spacing w:line="360" w:lineRule="auto"/>
        <w:jc w:val="left"/>
        <w:rPr>
          <w:rFonts w:ascii="宋体" w:hAnsi="宋体" w:eastAsia="宋体" w:cs="宋体"/>
          <w:sz w:val="24"/>
        </w:rPr>
      </w:pPr>
      <w:r>
        <w:rPr>
          <w:rFonts w:ascii="宋体" w:hAnsi="宋体" w:eastAsia="宋体" w:cs="宋体"/>
          <w:sz w:val="24"/>
        </w:rPr>
        <w:t>磋商文件并参加磋商，即被认为接受了磋商有效期的约定。</w:t>
      </w:r>
    </w:p>
    <w:p w14:paraId="56B5E561">
      <w:pPr>
        <w:spacing w:line="360" w:lineRule="auto"/>
        <w:ind w:firstLine="480" w:firstLineChars="200"/>
        <w:jc w:val="left"/>
        <w:rPr>
          <w:rFonts w:ascii="宋体" w:hAnsi="宋体" w:eastAsia="宋体" w:cs="宋体"/>
          <w:sz w:val="24"/>
        </w:rPr>
      </w:pPr>
      <w:r>
        <w:rPr>
          <w:rFonts w:ascii="宋体" w:hAnsi="宋体" w:eastAsia="宋体" w:cs="宋体"/>
          <w:sz w:val="24"/>
        </w:rPr>
        <w:t>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p>
    <w:p w14:paraId="1B2DAC95">
      <w:pPr>
        <w:spacing w:line="360" w:lineRule="auto"/>
        <w:ind w:firstLine="480" w:firstLineChars="200"/>
        <w:jc w:val="left"/>
        <w:rPr>
          <w:rFonts w:ascii="宋体" w:hAnsi="宋体" w:eastAsia="宋体" w:cs="宋体"/>
          <w:sz w:val="24"/>
        </w:rPr>
      </w:pPr>
    </w:p>
    <w:p w14:paraId="42428AA6">
      <w:pPr>
        <w:pStyle w:val="4"/>
        <w:spacing w:line="360" w:lineRule="auto"/>
        <w:rPr>
          <w:rFonts w:ascii="宋体" w:hAnsi="宋体" w:eastAsia="宋体" w:cs="宋体"/>
          <w:sz w:val="24"/>
        </w:rPr>
      </w:pPr>
      <w:bookmarkStart w:id="43" w:name="_Toc211511434"/>
      <w:r>
        <w:rPr>
          <w:rFonts w:ascii="宋体" w:hAnsi="宋体" w:eastAsia="宋体" w:cs="宋体"/>
          <w:sz w:val="24"/>
        </w:rPr>
        <w:t>15.响应文件的式样和签署</w:t>
      </w:r>
      <w:bookmarkEnd w:id="43"/>
    </w:p>
    <w:p w14:paraId="0DCDD6D4">
      <w:pPr>
        <w:spacing w:line="360" w:lineRule="auto"/>
        <w:ind w:firstLine="480" w:firstLineChars="200"/>
        <w:jc w:val="left"/>
        <w:rPr>
          <w:rFonts w:ascii="宋体" w:hAnsi="宋体" w:eastAsia="宋体" w:cs="宋体"/>
          <w:sz w:val="24"/>
        </w:rPr>
      </w:pPr>
    </w:p>
    <w:p w14:paraId="2CB7324C">
      <w:pPr>
        <w:spacing w:line="360" w:lineRule="auto"/>
        <w:ind w:firstLine="480" w:firstLineChars="200"/>
        <w:jc w:val="left"/>
        <w:rPr>
          <w:rFonts w:ascii="宋体" w:hAnsi="宋体" w:eastAsia="宋体" w:cs="宋体"/>
          <w:sz w:val="24"/>
        </w:rPr>
      </w:pPr>
      <w:r>
        <w:rPr>
          <w:rFonts w:ascii="宋体" w:hAnsi="宋体" w:eastAsia="宋体" w:cs="宋体"/>
          <w:sz w:val="24"/>
        </w:rPr>
        <w:t>15.1供应商应通过响应文件制作软件使用数字认证证书对响应文件进行合成、电子签章及加密打包。</w:t>
      </w:r>
    </w:p>
    <w:p w14:paraId="0B1158B1">
      <w:pPr>
        <w:spacing w:line="360" w:lineRule="auto"/>
        <w:ind w:firstLine="480" w:firstLineChars="200"/>
        <w:jc w:val="left"/>
        <w:rPr>
          <w:rFonts w:ascii="宋体" w:hAnsi="宋体" w:eastAsia="宋体" w:cs="宋体"/>
          <w:sz w:val="24"/>
        </w:rPr>
      </w:pPr>
    </w:p>
    <w:p w14:paraId="338431ED">
      <w:pPr>
        <w:pStyle w:val="4"/>
        <w:spacing w:line="360" w:lineRule="auto"/>
        <w:rPr>
          <w:rFonts w:ascii="宋体" w:hAnsi="宋体" w:eastAsia="宋体" w:cs="宋体"/>
          <w:sz w:val="24"/>
        </w:rPr>
      </w:pPr>
      <w:bookmarkStart w:id="44" w:name="_Toc211511435"/>
      <w:r>
        <w:rPr>
          <w:rFonts w:ascii="宋体" w:hAnsi="宋体" w:eastAsia="宋体" w:cs="宋体"/>
          <w:sz w:val="24"/>
        </w:rPr>
        <w:t>16.响应文件的提交</w:t>
      </w:r>
      <w:bookmarkEnd w:id="44"/>
    </w:p>
    <w:p w14:paraId="717C30B4">
      <w:pPr>
        <w:spacing w:line="360" w:lineRule="auto"/>
        <w:ind w:firstLine="480" w:firstLineChars="200"/>
        <w:jc w:val="left"/>
        <w:rPr>
          <w:rFonts w:ascii="宋体" w:hAnsi="宋体" w:eastAsia="宋体" w:cs="宋体"/>
          <w:sz w:val="24"/>
        </w:rPr>
      </w:pPr>
    </w:p>
    <w:p w14:paraId="446560E7">
      <w:pPr>
        <w:spacing w:line="360" w:lineRule="auto"/>
        <w:ind w:firstLine="480" w:firstLineChars="200"/>
        <w:jc w:val="left"/>
        <w:rPr>
          <w:rFonts w:ascii="宋体" w:hAnsi="宋体" w:eastAsia="宋体" w:cs="宋体"/>
          <w:sz w:val="24"/>
        </w:rPr>
      </w:pPr>
      <w:r>
        <w:rPr>
          <w:rFonts w:ascii="宋体" w:hAnsi="宋体" w:eastAsia="宋体" w:cs="宋体"/>
          <w:sz w:val="24"/>
        </w:rPr>
        <w:t>16.1响应文件提交</w:t>
      </w:r>
    </w:p>
    <w:p w14:paraId="00434CF9">
      <w:pPr>
        <w:spacing w:line="360" w:lineRule="auto"/>
        <w:ind w:firstLine="480" w:firstLineChars="200"/>
        <w:jc w:val="left"/>
        <w:rPr>
          <w:rFonts w:ascii="宋体" w:hAnsi="宋体" w:eastAsia="宋体" w:cs="宋体"/>
          <w:sz w:val="24"/>
        </w:rPr>
      </w:pPr>
      <w:r>
        <w:rPr>
          <w:rFonts w:ascii="宋体" w:hAnsi="宋体" w:eastAsia="宋体" w:cs="宋体"/>
          <w:sz w:val="24"/>
        </w:rPr>
        <w:t>16.1.1供应商须在磋商文件规定的截止时间前，通过响应文件编制软件或登录电子交易平台在规定时间内完成提交，提交成功后系统将发送回执。</w:t>
      </w:r>
      <w:r>
        <w:rPr>
          <w:rFonts w:ascii="宋体" w:hAnsi="宋体" w:eastAsia="宋体" w:cs="宋体"/>
          <w:b/>
          <w:bCs/>
          <w:sz w:val="24"/>
          <w:u w:val="single"/>
        </w:rPr>
        <w:t>时间以电子交易平台时间为准</w:t>
      </w:r>
      <w:r>
        <w:rPr>
          <w:rFonts w:ascii="宋体" w:hAnsi="宋体" w:eastAsia="宋体" w:cs="宋体"/>
          <w:sz w:val="24"/>
        </w:rPr>
        <w:t>。</w:t>
      </w:r>
    </w:p>
    <w:p w14:paraId="30EC91C6">
      <w:pPr>
        <w:spacing w:line="360" w:lineRule="auto"/>
        <w:ind w:firstLine="482" w:firstLineChars="200"/>
        <w:jc w:val="left"/>
        <w:rPr>
          <w:rFonts w:ascii="宋体" w:hAnsi="宋体" w:eastAsia="宋体" w:cs="宋体"/>
          <w:b/>
          <w:bCs/>
          <w:sz w:val="24"/>
          <w:u w:val="single"/>
        </w:rPr>
      </w:pPr>
      <w:r>
        <w:rPr>
          <w:rFonts w:ascii="宋体" w:hAnsi="宋体" w:eastAsia="宋体" w:cs="宋体"/>
          <w:b/>
          <w:bCs/>
          <w:sz w:val="24"/>
          <w:u w:val="single"/>
        </w:rPr>
        <w:t>16.1.2截止时间以后传输的响应文件，电子交易平台将拒绝接收。供应商应充分考虑网络环境、网络带宽等风险因素。</w:t>
      </w:r>
    </w:p>
    <w:p w14:paraId="7EA11DF0">
      <w:pPr>
        <w:spacing w:line="360" w:lineRule="auto"/>
        <w:ind w:firstLine="482" w:firstLineChars="200"/>
        <w:jc w:val="left"/>
        <w:rPr>
          <w:rFonts w:ascii="宋体" w:hAnsi="宋体" w:eastAsia="宋体" w:cs="宋体"/>
          <w:b/>
          <w:bCs/>
          <w:sz w:val="24"/>
          <w:u w:val="single"/>
        </w:rPr>
      </w:pPr>
      <w:r>
        <w:rPr>
          <w:rFonts w:ascii="宋体" w:hAnsi="宋体" w:eastAsia="宋体" w:cs="宋体"/>
          <w:b/>
          <w:bCs/>
          <w:sz w:val="24"/>
          <w:u w:val="single"/>
        </w:rPr>
        <w:t>16.1.3提交完成后至解密前，供应商不能对加密响应文件时所使用的数字认证证书进行更新、续费，否则可能引起的响应文件解密失败等相关后果由供应商自行承担。</w:t>
      </w:r>
    </w:p>
    <w:p w14:paraId="06067395">
      <w:pPr>
        <w:spacing w:line="360" w:lineRule="auto"/>
        <w:ind w:firstLine="480" w:firstLineChars="200"/>
        <w:jc w:val="left"/>
        <w:rPr>
          <w:rFonts w:ascii="宋体" w:hAnsi="宋体" w:eastAsia="宋体" w:cs="宋体"/>
          <w:sz w:val="24"/>
        </w:rPr>
      </w:pPr>
      <w:r>
        <w:rPr>
          <w:rFonts w:ascii="宋体" w:hAnsi="宋体" w:eastAsia="宋体" w:cs="宋体"/>
          <w:sz w:val="24"/>
        </w:rPr>
        <w:t>16.1.4因不可抗力事件造成的响应文件的损坏、丢失的，磋商组织方不承担责任。</w:t>
      </w:r>
    </w:p>
    <w:p w14:paraId="408CC41D">
      <w:pPr>
        <w:spacing w:line="360" w:lineRule="auto"/>
        <w:ind w:firstLine="480" w:firstLineChars="200"/>
        <w:jc w:val="left"/>
        <w:rPr>
          <w:rFonts w:ascii="宋体" w:hAnsi="宋体" w:eastAsia="宋体" w:cs="宋体"/>
          <w:sz w:val="24"/>
        </w:rPr>
      </w:pPr>
      <w:r>
        <w:rPr>
          <w:rFonts w:ascii="宋体" w:hAnsi="宋体" w:eastAsia="宋体" w:cs="宋体"/>
          <w:sz w:val="24"/>
        </w:rPr>
        <w:t>16.2磋商组织方可以通过修改磋商文件自行酌情延长截止时间，在此情况下，推迟提交截止时间将以书面形式通知已获取磋商文件的潜在供应商，并在“</w:t>
      </w:r>
      <w:r>
        <w:rPr>
          <w:rFonts w:hint="eastAsia" w:ascii="宋体" w:hAnsi="宋体"/>
          <w:sz w:val="24"/>
        </w:rPr>
        <w:t>江苏省政府采购网</w:t>
      </w:r>
      <w:r>
        <w:rPr>
          <w:rFonts w:ascii="宋体" w:hAnsi="宋体" w:eastAsia="宋体" w:cs="宋体"/>
          <w:sz w:val="24"/>
        </w:rPr>
        <w:t>"上发布公告。供应商应及时自行登录系统查看相应内容。</w:t>
      </w:r>
    </w:p>
    <w:p w14:paraId="734C7415">
      <w:pPr>
        <w:spacing w:line="360" w:lineRule="auto"/>
        <w:ind w:firstLine="480" w:firstLineChars="200"/>
        <w:jc w:val="left"/>
        <w:rPr>
          <w:rFonts w:ascii="宋体" w:hAnsi="宋体" w:eastAsia="宋体" w:cs="宋体"/>
          <w:sz w:val="24"/>
        </w:rPr>
      </w:pPr>
    </w:p>
    <w:p w14:paraId="570E4AE1">
      <w:pPr>
        <w:pStyle w:val="4"/>
        <w:spacing w:line="360" w:lineRule="auto"/>
        <w:rPr>
          <w:rFonts w:ascii="宋体" w:hAnsi="宋体" w:eastAsia="宋体" w:cs="宋体"/>
          <w:sz w:val="24"/>
        </w:rPr>
      </w:pPr>
      <w:bookmarkStart w:id="45" w:name="_Toc211511436"/>
      <w:r>
        <w:rPr>
          <w:rFonts w:ascii="宋体" w:hAnsi="宋体" w:eastAsia="宋体" w:cs="宋体"/>
          <w:sz w:val="24"/>
        </w:rPr>
        <w:t>17.响应文件的补充、修改或者撤回</w:t>
      </w:r>
      <w:bookmarkEnd w:id="45"/>
    </w:p>
    <w:p w14:paraId="03567075">
      <w:pPr>
        <w:spacing w:line="360" w:lineRule="auto"/>
        <w:ind w:firstLine="480" w:firstLineChars="200"/>
        <w:jc w:val="left"/>
        <w:rPr>
          <w:rFonts w:ascii="宋体" w:hAnsi="宋体" w:eastAsia="宋体" w:cs="宋体"/>
          <w:sz w:val="24"/>
        </w:rPr>
      </w:pPr>
      <w:r>
        <w:rPr>
          <w:rFonts w:ascii="宋体" w:hAnsi="宋体" w:eastAsia="宋体" w:cs="宋体"/>
          <w:sz w:val="24"/>
        </w:rPr>
        <w:t>17.1在提交截止时间前，供应商可以</w:t>
      </w:r>
      <w:r>
        <w:rPr>
          <w:rFonts w:hint="eastAsia" w:ascii="宋体" w:hAnsi="宋体" w:eastAsia="宋体" w:cs="宋体"/>
          <w:sz w:val="24"/>
        </w:rPr>
        <w:t>重新上传电子响应文件或</w:t>
      </w:r>
      <w:r>
        <w:rPr>
          <w:rFonts w:ascii="宋体" w:hAnsi="宋体" w:eastAsia="宋体" w:cs="宋体"/>
          <w:sz w:val="24"/>
        </w:rPr>
        <w:t>对所提交的电子响应文件进行撤回。</w:t>
      </w:r>
    </w:p>
    <w:p w14:paraId="2624E17E">
      <w:pPr>
        <w:spacing w:line="360" w:lineRule="auto"/>
        <w:ind w:firstLine="480" w:firstLineChars="200"/>
        <w:jc w:val="left"/>
        <w:rPr>
          <w:rFonts w:ascii="宋体" w:hAnsi="宋体" w:eastAsia="宋体" w:cs="宋体"/>
          <w:sz w:val="24"/>
        </w:rPr>
      </w:pPr>
      <w:r>
        <w:rPr>
          <w:rFonts w:ascii="宋体" w:hAnsi="宋体" w:eastAsia="宋体" w:cs="宋体"/>
          <w:sz w:val="24"/>
        </w:rPr>
        <w:t>17.2在提交截止时间之后，供应商不得对其响应文件作任何修改或撤回。</w:t>
      </w:r>
    </w:p>
    <w:p w14:paraId="6FEB5FF5">
      <w:pPr>
        <w:spacing w:line="360" w:lineRule="auto"/>
        <w:ind w:firstLine="480" w:firstLineChars="200"/>
        <w:jc w:val="left"/>
        <w:rPr>
          <w:rFonts w:ascii="宋体" w:hAnsi="宋体" w:eastAsia="宋体" w:cs="宋体"/>
          <w:sz w:val="24"/>
        </w:rPr>
      </w:pPr>
      <w:r>
        <w:rPr>
          <w:rFonts w:ascii="宋体" w:hAnsi="宋体" w:eastAsia="宋体" w:cs="宋体"/>
          <w:sz w:val="24"/>
        </w:rPr>
        <w:t>17.3在提交截止时间至磋商文件中规定的磋商有效期满之间，供应商不得撤回其响应</w:t>
      </w:r>
      <w:r>
        <w:rPr>
          <w:rFonts w:hint="eastAsia" w:ascii="宋体" w:hAnsi="宋体" w:eastAsia="宋体" w:cs="宋体"/>
          <w:sz w:val="24"/>
        </w:rPr>
        <w:t>文件</w:t>
      </w:r>
      <w:r>
        <w:rPr>
          <w:rFonts w:ascii="宋体" w:hAnsi="宋体" w:eastAsia="宋体" w:cs="宋体"/>
          <w:sz w:val="24"/>
        </w:rPr>
        <w:t>。</w:t>
      </w:r>
    </w:p>
    <w:p w14:paraId="33CD3B42">
      <w:pPr>
        <w:pStyle w:val="3"/>
        <w:spacing w:before="405" w:beforeLines="130" w:after="405" w:afterLines="130" w:line="360" w:lineRule="auto"/>
        <w:jc w:val="center"/>
      </w:pPr>
      <w:bookmarkStart w:id="46" w:name="_Toc211511437"/>
      <w:r>
        <w:t>四、磋商与评审</w:t>
      </w:r>
      <w:bookmarkEnd w:id="46"/>
    </w:p>
    <w:p w14:paraId="63671330">
      <w:pPr>
        <w:pStyle w:val="4"/>
        <w:spacing w:line="360" w:lineRule="auto"/>
        <w:rPr>
          <w:rFonts w:ascii="宋体" w:hAnsi="宋体" w:eastAsia="宋体" w:cs="宋体"/>
          <w:sz w:val="24"/>
        </w:rPr>
      </w:pPr>
      <w:bookmarkStart w:id="47" w:name="_Toc211511438"/>
      <w:r>
        <w:rPr>
          <w:rFonts w:ascii="宋体" w:hAnsi="宋体" w:eastAsia="宋体" w:cs="宋体"/>
          <w:sz w:val="24"/>
        </w:rPr>
        <w:t>18.磋商</w:t>
      </w:r>
      <w:bookmarkEnd w:id="47"/>
    </w:p>
    <w:p w14:paraId="04580BD5">
      <w:pPr>
        <w:spacing w:line="360" w:lineRule="auto"/>
        <w:ind w:firstLine="480" w:firstLineChars="200"/>
        <w:jc w:val="left"/>
        <w:rPr>
          <w:rFonts w:ascii="宋体" w:hAnsi="宋体" w:eastAsia="宋体" w:cs="宋体"/>
          <w:sz w:val="24"/>
        </w:rPr>
      </w:pPr>
    </w:p>
    <w:p w14:paraId="40CA935D">
      <w:pPr>
        <w:spacing w:line="360" w:lineRule="auto"/>
        <w:ind w:firstLine="480" w:firstLineChars="200"/>
        <w:jc w:val="left"/>
        <w:rPr>
          <w:rFonts w:ascii="宋体" w:hAnsi="宋体" w:eastAsia="宋体" w:cs="宋体"/>
          <w:sz w:val="24"/>
        </w:rPr>
      </w:pPr>
      <w:r>
        <w:rPr>
          <w:rFonts w:ascii="宋体" w:hAnsi="宋体" w:eastAsia="宋体" w:cs="宋体"/>
          <w:sz w:val="24"/>
        </w:rPr>
        <w:t>18.1供应商应当在磋商前做好充分准备，携带CA数字证书准时参加磋商。</w:t>
      </w:r>
    </w:p>
    <w:p w14:paraId="36843E56">
      <w:pPr>
        <w:spacing w:line="360" w:lineRule="auto"/>
        <w:ind w:firstLine="480" w:firstLineChars="200"/>
        <w:jc w:val="left"/>
        <w:rPr>
          <w:rFonts w:ascii="宋体" w:hAnsi="宋体" w:eastAsia="宋体" w:cs="宋体"/>
          <w:sz w:val="24"/>
        </w:rPr>
      </w:pPr>
      <w:r>
        <w:rPr>
          <w:rFonts w:ascii="宋体" w:hAnsi="宋体" w:eastAsia="宋体" w:cs="宋体"/>
          <w:sz w:val="24"/>
        </w:rPr>
        <w:t>18.2供应商不足3家，不进入解密程序。</w:t>
      </w:r>
    </w:p>
    <w:p w14:paraId="0A584422">
      <w:pPr>
        <w:spacing w:line="360" w:lineRule="auto"/>
        <w:ind w:firstLine="480" w:firstLineChars="200"/>
        <w:jc w:val="left"/>
        <w:rPr>
          <w:rFonts w:ascii="宋体" w:hAnsi="宋体" w:eastAsia="宋体" w:cs="宋体"/>
          <w:sz w:val="24"/>
        </w:rPr>
      </w:pPr>
      <w:r>
        <w:rPr>
          <w:rFonts w:ascii="宋体" w:hAnsi="宋体" w:eastAsia="宋体" w:cs="宋体"/>
          <w:sz w:val="24"/>
        </w:rPr>
        <w:t>18.3磋商时，磋商组织方将在系统内公布供应商名单，发出解密的指令，供应商自行实施解密，限定在主持人发布解密指令后</w:t>
      </w:r>
      <w:r>
        <w:rPr>
          <w:rFonts w:hint="eastAsia" w:ascii="宋体" w:hAnsi="宋体" w:eastAsia="宋体" w:cs="宋体"/>
          <w:sz w:val="24"/>
        </w:rPr>
        <w:t>30</w:t>
      </w:r>
      <w:r>
        <w:rPr>
          <w:rFonts w:ascii="宋体" w:hAnsi="宋体" w:eastAsia="宋体" w:cs="宋体"/>
          <w:sz w:val="24"/>
        </w:rPr>
        <w:t>分钟内完成。解密时，供应商必须使用与制作响应文件时同一数字认证证书对响应文件进行解密，否则解密将会失败。</w:t>
      </w:r>
    </w:p>
    <w:p w14:paraId="773A8C7D">
      <w:pPr>
        <w:spacing w:line="360" w:lineRule="auto"/>
        <w:ind w:firstLine="480" w:firstLineChars="200"/>
        <w:jc w:val="left"/>
        <w:rPr>
          <w:rFonts w:ascii="宋体" w:hAnsi="宋体" w:eastAsia="宋体" w:cs="宋体"/>
          <w:sz w:val="24"/>
        </w:rPr>
      </w:pPr>
      <w:r>
        <w:rPr>
          <w:rFonts w:ascii="宋体" w:hAnsi="宋体" w:eastAsia="宋体" w:cs="宋体"/>
          <w:sz w:val="24"/>
        </w:rPr>
        <w:t>18.4因供应商原因造成响应文件未解密或解密失败或无法正常打开响应文件的，磋商组织方将拒绝其响应。部分供应商的响应文件未解密或解密失败的，程序可以继续进行。若解密成功的供应商不足三家，不进入后续程序。</w:t>
      </w:r>
    </w:p>
    <w:p w14:paraId="1C2C83D5">
      <w:pPr>
        <w:spacing w:line="360" w:lineRule="auto"/>
        <w:ind w:firstLine="480" w:firstLineChars="200"/>
        <w:jc w:val="left"/>
        <w:rPr>
          <w:rFonts w:ascii="宋体" w:hAnsi="宋体" w:eastAsia="宋体" w:cs="宋体"/>
          <w:sz w:val="24"/>
        </w:rPr>
      </w:pPr>
      <w:r>
        <w:rPr>
          <w:rFonts w:ascii="宋体" w:hAnsi="宋体" w:eastAsia="宋体" w:cs="宋体"/>
          <w:sz w:val="24"/>
        </w:rPr>
        <w:t>18.5本项目在限定的解密时间内，只要有任一家供应商解密成功，即视为电子交易平台运行无故障。</w:t>
      </w:r>
    </w:p>
    <w:p w14:paraId="72CA55EC">
      <w:pPr>
        <w:spacing w:line="360" w:lineRule="auto"/>
        <w:ind w:firstLine="480" w:firstLineChars="200"/>
        <w:jc w:val="left"/>
        <w:rPr>
          <w:rFonts w:ascii="宋体" w:hAnsi="宋体" w:eastAsia="宋体" w:cs="宋体"/>
          <w:sz w:val="24"/>
        </w:rPr>
      </w:pPr>
      <w:r>
        <w:rPr>
          <w:rFonts w:ascii="宋体" w:hAnsi="宋体" w:eastAsia="宋体" w:cs="宋体"/>
          <w:sz w:val="24"/>
        </w:rPr>
        <w:t>18.6供应商须配合磋商工作，否则自行承担后果。</w:t>
      </w:r>
    </w:p>
    <w:p w14:paraId="574F2CE1">
      <w:pPr>
        <w:spacing w:line="360" w:lineRule="auto"/>
        <w:ind w:firstLine="480" w:firstLineChars="200"/>
        <w:jc w:val="left"/>
        <w:rPr>
          <w:rFonts w:ascii="宋体" w:hAnsi="宋体" w:eastAsia="宋体" w:cs="宋体"/>
          <w:sz w:val="24"/>
        </w:rPr>
      </w:pPr>
    </w:p>
    <w:p w14:paraId="13798E2E">
      <w:pPr>
        <w:pStyle w:val="4"/>
        <w:spacing w:line="360" w:lineRule="auto"/>
        <w:rPr>
          <w:rFonts w:ascii="宋体" w:hAnsi="宋体" w:eastAsia="宋体" w:cs="宋体"/>
          <w:sz w:val="24"/>
        </w:rPr>
      </w:pPr>
      <w:bookmarkStart w:id="48" w:name="_Toc211511439"/>
      <w:r>
        <w:rPr>
          <w:rFonts w:ascii="宋体" w:hAnsi="宋体" w:eastAsia="宋体" w:cs="宋体"/>
          <w:sz w:val="24"/>
        </w:rPr>
        <w:t>19.磋商小组组成</w:t>
      </w:r>
      <w:bookmarkEnd w:id="48"/>
    </w:p>
    <w:p w14:paraId="556A4934">
      <w:pPr>
        <w:spacing w:line="360" w:lineRule="auto"/>
        <w:ind w:firstLine="480" w:firstLineChars="200"/>
        <w:jc w:val="left"/>
        <w:rPr>
          <w:rFonts w:ascii="宋体" w:hAnsi="宋体" w:eastAsia="宋体" w:cs="宋体"/>
          <w:sz w:val="24"/>
        </w:rPr>
      </w:pPr>
      <w:r>
        <w:rPr>
          <w:rFonts w:ascii="宋体" w:hAnsi="宋体" w:eastAsia="宋体" w:cs="宋体"/>
          <w:sz w:val="24"/>
        </w:rPr>
        <w:t>19.1磋商小组将由采购人代表和评审专家组成，成员人数为3人或3人以上单数。</w:t>
      </w:r>
    </w:p>
    <w:p w14:paraId="6987211C">
      <w:pPr>
        <w:spacing w:line="360" w:lineRule="auto"/>
        <w:ind w:firstLine="480" w:firstLineChars="200"/>
        <w:jc w:val="left"/>
        <w:rPr>
          <w:rFonts w:ascii="宋体" w:hAnsi="宋体" w:eastAsia="宋体" w:cs="宋体"/>
          <w:sz w:val="24"/>
        </w:rPr>
      </w:pPr>
    </w:p>
    <w:p w14:paraId="000E2B7B">
      <w:pPr>
        <w:pStyle w:val="4"/>
        <w:spacing w:line="360" w:lineRule="auto"/>
        <w:rPr>
          <w:rFonts w:ascii="宋体" w:hAnsi="宋体" w:eastAsia="宋体" w:cs="宋体"/>
          <w:sz w:val="24"/>
        </w:rPr>
      </w:pPr>
      <w:bookmarkStart w:id="49" w:name="_Toc211511440"/>
      <w:r>
        <w:rPr>
          <w:rFonts w:ascii="宋体" w:hAnsi="宋体" w:eastAsia="宋体" w:cs="宋体"/>
          <w:sz w:val="24"/>
        </w:rPr>
        <w:t>20.无效磋商的情形</w:t>
      </w:r>
      <w:bookmarkEnd w:id="49"/>
    </w:p>
    <w:p w14:paraId="2C441CF0">
      <w:pPr>
        <w:spacing w:line="360" w:lineRule="auto"/>
        <w:ind w:firstLine="480" w:firstLineChars="200"/>
        <w:jc w:val="left"/>
        <w:rPr>
          <w:rFonts w:ascii="宋体" w:hAnsi="宋体" w:eastAsia="宋体" w:cs="宋体"/>
          <w:sz w:val="24"/>
        </w:rPr>
      </w:pPr>
      <w:r>
        <w:rPr>
          <w:rFonts w:ascii="宋体" w:hAnsi="宋体" w:eastAsia="宋体" w:cs="宋体"/>
          <w:sz w:val="24"/>
        </w:rPr>
        <w:t>供应商存在下列情况之一的，其磋商无效：</w:t>
      </w:r>
    </w:p>
    <w:p w14:paraId="4C16EB91">
      <w:pPr>
        <w:spacing w:line="360" w:lineRule="auto"/>
        <w:ind w:firstLine="480" w:firstLineChars="200"/>
        <w:jc w:val="left"/>
        <w:rPr>
          <w:rFonts w:ascii="宋体" w:hAnsi="宋体" w:eastAsia="宋体" w:cs="宋体"/>
          <w:sz w:val="24"/>
        </w:rPr>
      </w:pPr>
      <w:r>
        <w:rPr>
          <w:rFonts w:ascii="宋体" w:hAnsi="宋体" w:eastAsia="宋体" w:cs="宋体"/>
          <w:sz w:val="24"/>
        </w:rPr>
        <w:t>(1)响应文件未按磋商文件要求签署、盖章的；</w:t>
      </w:r>
    </w:p>
    <w:p w14:paraId="2658055A">
      <w:pPr>
        <w:spacing w:line="360" w:lineRule="auto"/>
        <w:ind w:firstLine="480" w:firstLineChars="200"/>
        <w:jc w:val="left"/>
        <w:rPr>
          <w:rFonts w:ascii="宋体" w:hAnsi="宋体" w:eastAsia="宋体" w:cs="宋体"/>
          <w:sz w:val="24"/>
        </w:rPr>
      </w:pPr>
      <w:r>
        <w:rPr>
          <w:rFonts w:ascii="宋体" w:hAnsi="宋体" w:eastAsia="宋体" w:cs="宋体"/>
          <w:sz w:val="24"/>
        </w:rPr>
        <w:t>(2)不具备磋商文件中规定的资格要求的；</w:t>
      </w:r>
    </w:p>
    <w:p w14:paraId="19D201D9">
      <w:pPr>
        <w:spacing w:line="360" w:lineRule="auto"/>
        <w:ind w:firstLine="480" w:firstLineChars="200"/>
        <w:jc w:val="left"/>
        <w:rPr>
          <w:rFonts w:ascii="宋体" w:hAnsi="宋体" w:eastAsia="宋体" w:cs="宋体"/>
          <w:sz w:val="24"/>
        </w:rPr>
      </w:pPr>
      <w:r>
        <w:rPr>
          <w:rFonts w:ascii="宋体" w:hAnsi="宋体" w:eastAsia="宋体" w:cs="宋体"/>
          <w:sz w:val="24"/>
        </w:rPr>
        <w:t>(3)在磋商过程中未对磋商内容作出实质性变更、修改的情况下，首轮报价或最终报价超过磋商文件中规定的预算金额或最高限价的；</w:t>
      </w:r>
    </w:p>
    <w:p w14:paraId="289DA57E">
      <w:pPr>
        <w:spacing w:line="360" w:lineRule="auto"/>
        <w:ind w:firstLine="480" w:firstLineChars="200"/>
        <w:jc w:val="left"/>
        <w:rPr>
          <w:rFonts w:ascii="宋体" w:hAnsi="宋体" w:eastAsia="宋体" w:cs="宋体"/>
          <w:sz w:val="24"/>
        </w:rPr>
      </w:pPr>
      <w:r>
        <w:rPr>
          <w:rFonts w:ascii="宋体" w:hAnsi="宋体" w:eastAsia="宋体" w:cs="宋体"/>
          <w:sz w:val="24"/>
        </w:rPr>
        <w:t>(4)响应文件含有采购人不能接受的附加条件的；</w:t>
      </w:r>
    </w:p>
    <w:p w14:paraId="42E2AD70">
      <w:pPr>
        <w:spacing w:line="360" w:lineRule="auto"/>
        <w:ind w:firstLine="480" w:firstLineChars="200"/>
        <w:jc w:val="left"/>
        <w:rPr>
          <w:rFonts w:ascii="宋体" w:hAnsi="宋体" w:eastAsia="宋体" w:cs="宋体"/>
          <w:sz w:val="24"/>
        </w:rPr>
      </w:pPr>
      <w:r>
        <w:rPr>
          <w:rFonts w:ascii="宋体" w:hAnsi="宋体" w:eastAsia="宋体" w:cs="宋体"/>
          <w:sz w:val="24"/>
        </w:rPr>
        <w:t>(5)不符合法律、法规和磋商文件规定的其它实质性条款(须经磋商小组半数以上同意)</w:t>
      </w:r>
      <w:r>
        <w:rPr>
          <w:rFonts w:hint="eastAsia" w:ascii="宋体" w:hAnsi="宋体" w:eastAsia="宋体" w:cs="宋体"/>
          <w:sz w:val="24"/>
        </w:rPr>
        <w:t>；</w:t>
      </w:r>
    </w:p>
    <w:p w14:paraId="0D24734A">
      <w:pPr>
        <w:spacing w:line="360" w:lineRule="auto"/>
        <w:ind w:firstLine="480" w:firstLineChars="200"/>
        <w:jc w:val="left"/>
        <w:rPr>
          <w:rFonts w:ascii="宋体" w:hAnsi="宋体" w:eastAsia="宋体" w:cs="宋体"/>
          <w:sz w:val="24"/>
        </w:rPr>
      </w:pPr>
      <w:r>
        <w:rPr>
          <w:rFonts w:ascii="宋体" w:hAnsi="宋体" w:eastAsia="宋体" w:cs="宋体"/>
          <w:sz w:val="24"/>
        </w:rPr>
        <w:t>(6)不同供应商的单位负责人为同一人或者存在直接控股、管理关系的；</w:t>
      </w:r>
    </w:p>
    <w:p w14:paraId="4A6789F1">
      <w:pPr>
        <w:spacing w:line="360" w:lineRule="auto"/>
        <w:ind w:firstLine="480" w:firstLineChars="200"/>
        <w:jc w:val="left"/>
        <w:rPr>
          <w:rFonts w:ascii="宋体" w:hAnsi="宋体" w:eastAsia="宋体" w:cs="宋体"/>
          <w:sz w:val="24"/>
        </w:rPr>
      </w:pPr>
      <w:r>
        <w:rPr>
          <w:rFonts w:ascii="宋体" w:hAnsi="宋体" w:eastAsia="宋体" w:cs="宋体"/>
          <w:sz w:val="24"/>
        </w:rPr>
        <w:t>(7)“信用中国”网站</w:t>
      </w:r>
      <w:r>
        <w:rPr>
          <w:rFonts w:hint="eastAsia" w:ascii="宋体" w:hAnsi="宋体" w:eastAsia="宋体" w:cs="宋体"/>
          <w:sz w:val="24"/>
        </w:rPr>
        <w:t>（</w:t>
      </w:r>
      <w:r>
        <w:rPr>
          <w:rFonts w:ascii="宋体" w:hAnsi="宋体" w:eastAsia="宋体" w:cs="宋体"/>
          <w:sz w:val="24"/>
        </w:rPr>
        <w:t>www.creditchina.gov.cn</w:t>
      </w:r>
      <w:r>
        <w:rPr>
          <w:rFonts w:hint="eastAsia" w:ascii="宋体" w:hAnsi="宋体" w:eastAsia="宋体" w:cs="宋体"/>
          <w:sz w:val="24"/>
        </w:rPr>
        <w:t>）</w:t>
      </w:r>
      <w:r>
        <w:rPr>
          <w:rFonts w:ascii="宋体" w:hAnsi="宋体" w:eastAsia="宋体" w:cs="宋体"/>
          <w:sz w:val="24"/>
        </w:rPr>
        <w:t>、中国政府采购网</w:t>
      </w:r>
      <w:r>
        <w:rPr>
          <w:rFonts w:hint="eastAsia" w:ascii="宋体" w:hAnsi="宋体" w:eastAsia="宋体" w:cs="宋体"/>
          <w:sz w:val="24"/>
        </w:rPr>
        <w:t>（</w:t>
      </w:r>
      <w:r>
        <w:rPr>
          <w:rFonts w:ascii="宋体" w:hAnsi="宋体" w:eastAsia="宋体" w:cs="宋体"/>
          <w:sz w:val="24"/>
        </w:rPr>
        <w:t>www.ccgp.gov.cn)、“信用江苏”网站</w:t>
      </w:r>
      <w:r>
        <w:rPr>
          <w:rFonts w:hint="eastAsia" w:ascii="宋体" w:hAnsi="宋体" w:eastAsia="宋体" w:cs="宋体"/>
          <w:sz w:val="24"/>
        </w:rPr>
        <w:t>（</w:t>
      </w:r>
      <w:r>
        <w:rPr>
          <w:rFonts w:ascii="宋体" w:hAnsi="宋体" w:eastAsia="宋体" w:cs="宋体"/>
          <w:sz w:val="24"/>
        </w:rPr>
        <w:t>http://www.jscredit.gov.cn</w:t>
      </w:r>
      <w:r>
        <w:rPr>
          <w:rFonts w:hint="eastAsia" w:ascii="宋体" w:hAnsi="宋体" w:eastAsia="宋体" w:cs="宋体"/>
          <w:sz w:val="24"/>
        </w:rPr>
        <w:t>）</w:t>
      </w:r>
      <w:r>
        <w:rPr>
          <w:rFonts w:ascii="宋体" w:hAnsi="宋体" w:eastAsia="宋体" w:cs="宋体"/>
          <w:sz w:val="24"/>
        </w:rPr>
        <w:t>查询结果为失信被执行人名单、重大税收违法案件当事人名单、政府采购严重违法失信行为名单的；</w:t>
      </w:r>
    </w:p>
    <w:p w14:paraId="0123B4E7">
      <w:pPr>
        <w:spacing w:line="360" w:lineRule="auto"/>
        <w:ind w:firstLine="480" w:firstLineChars="200"/>
        <w:jc w:val="left"/>
        <w:rPr>
          <w:rFonts w:ascii="宋体" w:hAnsi="宋体" w:eastAsia="宋体" w:cs="宋体"/>
          <w:sz w:val="24"/>
        </w:rPr>
      </w:pPr>
      <w:r>
        <w:rPr>
          <w:rFonts w:ascii="宋体" w:hAnsi="宋体" w:eastAsia="宋体" w:cs="宋体"/>
          <w:sz w:val="24"/>
        </w:rPr>
        <w:t>(8)磋商小组认为供应商的报价明显低于其他通过符合性审查供应商的报价，有可能影响服务质量或者不能诚信履约，要求供应商在合理的时间内提供书面说明，必要时提交相关证明材料，供应商不能证明其报价合理性的；</w:t>
      </w:r>
    </w:p>
    <w:p w14:paraId="51DFA6EF">
      <w:pPr>
        <w:spacing w:line="360" w:lineRule="auto"/>
        <w:ind w:firstLine="480" w:firstLineChars="200"/>
        <w:jc w:val="left"/>
        <w:rPr>
          <w:rFonts w:ascii="宋体" w:hAnsi="宋体" w:eastAsia="宋体" w:cs="宋体"/>
          <w:sz w:val="24"/>
        </w:rPr>
      </w:pPr>
      <w:r>
        <w:rPr>
          <w:rFonts w:ascii="宋体" w:hAnsi="宋体" w:eastAsia="宋体" w:cs="宋体"/>
          <w:sz w:val="24"/>
        </w:rPr>
        <w:t>(9)响应文件中提供了虚假或失实资料的；</w:t>
      </w:r>
    </w:p>
    <w:p w14:paraId="0C13EE54">
      <w:pPr>
        <w:spacing w:line="360" w:lineRule="auto"/>
        <w:ind w:firstLine="480" w:firstLineChars="200"/>
        <w:jc w:val="left"/>
        <w:rPr>
          <w:rFonts w:ascii="宋体" w:hAnsi="宋体" w:eastAsia="宋体" w:cs="宋体"/>
          <w:sz w:val="24"/>
        </w:rPr>
      </w:pPr>
      <w:r>
        <w:rPr>
          <w:rFonts w:ascii="宋体" w:hAnsi="宋体" w:eastAsia="宋体" w:cs="宋体"/>
          <w:sz w:val="24"/>
        </w:rPr>
        <w:t>(10)不同供应商的响应文件出现了磋商小组认为不应当雷同的；</w:t>
      </w:r>
    </w:p>
    <w:p w14:paraId="73AAC0BD">
      <w:pPr>
        <w:spacing w:line="360" w:lineRule="auto"/>
        <w:ind w:firstLine="480" w:firstLineChars="200"/>
        <w:jc w:val="left"/>
        <w:rPr>
          <w:rFonts w:ascii="宋体" w:hAnsi="宋体" w:eastAsia="宋体" w:cs="宋体"/>
          <w:sz w:val="24"/>
        </w:rPr>
      </w:pPr>
      <w:r>
        <w:rPr>
          <w:rFonts w:ascii="宋体" w:hAnsi="宋体" w:eastAsia="宋体" w:cs="宋体"/>
          <w:sz w:val="24"/>
        </w:rPr>
        <w:t>(11)供应商存在串通磋商情形的；</w:t>
      </w:r>
    </w:p>
    <w:p w14:paraId="78B103A6">
      <w:pPr>
        <w:spacing w:line="360" w:lineRule="auto"/>
        <w:ind w:firstLine="480" w:firstLineChars="200"/>
        <w:jc w:val="left"/>
        <w:rPr>
          <w:rFonts w:ascii="宋体" w:hAnsi="宋体" w:eastAsia="宋体" w:cs="宋体"/>
          <w:sz w:val="24"/>
        </w:rPr>
      </w:pPr>
      <w:r>
        <w:rPr>
          <w:rFonts w:ascii="宋体" w:hAnsi="宋体" w:eastAsia="宋体" w:cs="宋体"/>
          <w:sz w:val="24"/>
        </w:rPr>
        <w:t>(12)未在提交截止时间前提交有效加密文件的；由于供应商原因，未在规定时间内对响应文件进行有效解密的；</w:t>
      </w:r>
    </w:p>
    <w:p w14:paraId="74A82279">
      <w:pPr>
        <w:spacing w:line="360" w:lineRule="auto"/>
        <w:ind w:firstLine="480" w:firstLineChars="200"/>
        <w:jc w:val="left"/>
        <w:rPr>
          <w:rFonts w:hint="eastAsia" w:ascii="宋体" w:hAnsi="宋体" w:eastAsia="宋体" w:cs="宋体"/>
          <w:sz w:val="24"/>
        </w:rPr>
      </w:pPr>
      <w:r>
        <w:rPr>
          <w:rFonts w:ascii="宋体" w:hAnsi="宋体" w:eastAsia="宋体" w:cs="宋体"/>
          <w:sz w:val="24"/>
        </w:rPr>
        <w:t>(13)项目服务期有负偏离的</w:t>
      </w:r>
      <w:r>
        <w:rPr>
          <w:rFonts w:hint="eastAsia" w:ascii="宋体" w:hAnsi="宋体" w:eastAsia="宋体" w:cs="宋体"/>
          <w:sz w:val="24"/>
        </w:rPr>
        <w:t>。</w:t>
      </w:r>
    </w:p>
    <w:p w14:paraId="7E2176E3">
      <w:pPr>
        <w:spacing w:line="360" w:lineRule="auto"/>
        <w:ind w:firstLine="480" w:firstLineChars="200"/>
        <w:jc w:val="left"/>
        <w:rPr>
          <w:rFonts w:ascii="宋体" w:hAnsi="宋体"/>
          <w:b/>
          <w:sz w:val="24"/>
          <w:u w:val="single"/>
        </w:rPr>
      </w:pPr>
      <w:bookmarkStart w:id="50" w:name="_Hlk204180458"/>
      <w:r>
        <w:rPr>
          <w:rFonts w:ascii="宋体" w:hAnsi="宋体" w:eastAsia="宋体" w:cs="宋体"/>
          <w:sz w:val="24"/>
        </w:rPr>
        <w:t>(1</w:t>
      </w:r>
      <w:r>
        <w:rPr>
          <w:rFonts w:hint="eastAsia" w:ascii="宋体" w:hAnsi="宋体" w:eastAsia="宋体" w:cs="宋体"/>
          <w:sz w:val="24"/>
          <w:lang w:val="en-US" w:eastAsia="zh-CN"/>
        </w:rPr>
        <w:t>4</w:t>
      </w:r>
      <w:r>
        <w:rPr>
          <w:rFonts w:ascii="宋体" w:hAnsi="宋体" w:eastAsia="宋体" w:cs="宋体"/>
          <w:sz w:val="24"/>
        </w:rPr>
        <w:t>)</w:t>
      </w:r>
      <w:r>
        <w:rPr>
          <w:rFonts w:hint="eastAsia" w:ascii="宋体" w:hAnsi="宋体"/>
          <w:b/>
          <w:sz w:val="24"/>
          <w:u w:val="single"/>
        </w:rPr>
        <w:t>评审过程中出现下列情形之一的，评标委员会应当启动异常低价投标(响应)审查程序：</w:t>
      </w:r>
    </w:p>
    <w:p w14:paraId="0EDF9CA6">
      <w:pPr>
        <w:keepNext w:val="0"/>
        <w:keepLines w:val="0"/>
        <w:pageBreakBefore w:val="0"/>
        <w:widowControl/>
        <w:spacing w:line="360" w:lineRule="auto"/>
        <w:ind w:left="1" w:firstLine="480"/>
        <w:rPr>
          <w:rFonts w:ascii="宋体" w:hAnsi="宋体"/>
          <w:b/>
          <w:sz w:val="24"/>
          <w:u w:val="single"/>
        </w:rPr>
      </w:pPr>
      <w:r>
        <w:rPr>
          <w:rFonts w:hint="eastAsia" w:ascii="宋体" w:hAnsi="宋体"/>
          <w:sz w:val="24"/>
          <w:lang w:val="en-US" w:eastAsia="zh-CN"/>
        </w:rPr>
        <w:t>14.</w:t>
      </w:r>
      <w:r>
        <w:rPr>
          <w:rFonts w:hint="eastAsia" w:ascii="宋体" w:hAnsi="宋体"/>
          <w:sz w:val="24"/>
        </w:rPr>
        <w:t>1</w:t>
      </w:r>
      <w:r>
        <w:rPr>
          <w:rFonts w:hint="eastAsia" w:ascii="宋体" w:hAnsi="宋体"/>
          <w:b/>
          <w:sz w:val="24"/>
          <w:u w:val="single"/>
        </w:rPr>
        <w:t>投标(响应)报价低于采购项目预算50%的，即投标(响应)报价&lt;采购项目预算x50%；</w:t>
      </w:r>
    </w:p>
    <w:p w14:paraId="2287D48B">
      <w:pPr>
        <w:keepNext w:val="0"/>
        <w:keepLines w:val="0"/>
        <w:pageBreakBefore w:val="0"/>
        <w:widowControl/>
        <w:spacing w:line="360" w:lineRule="auto"/>
        <w:ind w:left="1" w:firstLine="480"/>
        <w:rPr>
          <w:rFonts w:ascii="宋体" w:hAnsi="宋体"/>
          <w:b/>
          <w:sz w:val="24"/>
          <w:u w:val="single"/>
        </w:rPr>
      </w:pPr>
      <w:r>
        <w:rPr>
          <w:rFonts w:hint="eastAsia" w:ascii="宋体" w:hAnsi="宋体"/>
          <w:sz w:val="24"/>
          <w:lang w:val="en-US" w:eastAsia="zh-CN"/>
        </w:rPr>
        <w:t>14.2</w:t>
      </w:r>
      <w:r>
        <w:rPr>
          <w:rFonts w:hint="eastAsia" w:ascii="宋体" w:hAnsi="宋体"/>
          <w:b/>
          <w:sz w:val="24"/>
          <w:u w:val="single"/>
        </w:rPr>
        <w:t>投标(响应)报价低于采购项目最高限价45%的，即投标(响应)报价&lt;采购项目最高限价x45%；</w:t>
      </w:r>
    </w:p>
    <w:p w14:paraId="20E8AD4E">
      <w:pPr>
        <w:keepNext w:val="0"/>
        <w:keepLines w:val="0"/>
        <w:pageBreakBefore w:val="0"/>
        <w:widowControl/>
        <w:spacing w:line="360" w:lineRule="auto"/>
        <w:ind w:left="1" w:firstLine="480"/>
        <w:rPr>
          <w:rFonts w:ascii="宋体" w:hAnsi="宋体"/>
          <w:b/>
          <w:sz w:val="24"/>
          <w:u w:val="single"/>
        </w:rPr>
      </w:pPr>
      <w:r>
        <w:rPr>
          <w:rFonts w:hint="eastAsia" w:ascii="宋体" w:hAnsi="宋体"/>
          <w:sz w:val="24"/>
          <w:lang w:val="en-US" w:eastAsia="zh-CN"/>
        </w:rPr>
        <w:t>14.</w:t>
      </w:r>
      <w:r>
        <w:rPr>
          <w:rFonts w:hint="eastAsia" w:ascii="宋体" w:hAnsi="宋体"/>
          <w:sz w:val="24"/>
        </w:rPr>
        <w:t>3</w:t>
      </w:r>
      <w:r>
        <w:rPr>
          <w:rFonts w:hint="eastAsia" w:ascii="宋体" w:hAnsi="宋体"/>
          <w:b/>
          <w:sz w:val="24"/>
          <w:u w:val="single"/>
        </w:rPr>
        <w:t>评标委员会认定的供应商报价过低、有可能影响产品质量或者不能诚信履约的其他情形。</w:t>
      </w:r>
    </w:p>
    <w:p w14:paraId="790FD1BE">
      <w:pPr>
        <w:keepNext w:val="0"/>
        <w:keepLines w:val="0"/>
        <w:pageBreakBefore w:val="0"/>
        <w:widowControl/>
        <w:spacing w:line="360" w:lineRule="auto"/>
        <w:ind w:left="1" w:firstLine="482"/>
        <w:rPr>
          <w:rFonts w:ascii="宋体" w:hAnsi="宋体"/>
          <w:b/>
          <w:sz w:val="24"/>
          <w:u w:val="single"/>
        </w:rPr>
      </w:pPr>
      <w:r>
        <w:rPr>
          <w:rFonts w:hint="eastAsia" w:ascii="宋体" w:hAnsi="宋体"/>
          <w:b/>
          <w:sz w:val="24"/>
          <w:u w:val="single"/>
        </w:rPr>
        <w:t>启动异常低价投标(响应)审查后，评标委员会应当根据相关供应商提供的项目具体成本测算等与报价合理性相关的书面说明及相关证明材料，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39AE8751">
      <w:pPr>
        <w:keepNext w:val="0"/>
        <w:keepLines w:val="0"/>
        <w:pageBreakBefore w:val="0"/>
        <w:widowControl/>
        <w:spacing w:line="360" w:lineRule="auto"/>
        <w:ind w:left="1" w:firstLine="482"/>
        <w:rPr>
          <w:rFonts w:ascii="宋体" w:hAnsi="宋体"/>
          <w:b/>
          <w:sz w:val="24"/>
          <w:u w:val="single"/>
        </w:rPr>
      </w:pPr>
      <w:r>
        <w:rPr>
          <w:rFonts w:hint="eastAsia" w:ascii="宋体" w:hAnsi="宋体"/>
          <w:b/>
          <w:sz w:val="24"/>
          <w:u w:val="single"/>
        </w:rPr>
        <w:t>出现采购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bookmarkEnd w:id="50"/>
    </w:p>
    <w:p w14:paraId="4B6A987D">
      <w:pPr>
        <w:rPr>
          <w:rFonts w:hint="eastAsia" w:eastAsiaTheme="minorEastAsia"/>
          <w:lang w:eastAsia="zh-CN"/>
        </w:rPr>
      </w:pPr>
    </w:p>
    <w:p w14:paraId="530588A0">
      <w:pPr>
        <w:pStyle w:val="4"/>
        <w:spacing w:line="360" w:lineRule="auto"/>
        <w:rPr>
          <w:rFonts w:ascii="宋体" w:hAnsi="宋体" w:eastAsia="宋体" w:cs="宋体"/>
          <w:sz w:val="24"/>
        </w:rPr>
      </w:pPr>
      <w:bookmarkStart w:id="51" w:name="_Toc211511441"/>
      <w:r>
        <w:rPr>
          <w:rFonts w:hint="eastAsia" w:ascii="宋体" w:hAnsi="宋体" w:eastAsia="宋体" w:cs="宋体"/>
          <w:sz w:val="24"/>
        </w:rPr>
        <w:t>21.串通磋商的情形</w:t>
      </w:r>
      <w:bookmarkEnd w:id="51"/>
    </w:p>
    <w:p w14:paraId="2C8FF9CD">
      <w:pPr>
        <w:spacing w:line="360" w:lineRule="auto"/>
        <w:ind w:firstLine="480" w:firstLineChars="200"/>
        <w:jc w:val="left"/>
        <w:rPr>
          <w:rFonts w:ascii="宋体" w:hAnsi="宋体" w:eastAsia="宋体" w:cs="宋体"/>
          <w:sz w:val="24"/>
        </w:rPr>
      </w:pPr>
      <w:r>
        <w:rPr>
          <w:rFonts w:hint="eastAsia" w:ascii="宋体" w:hAnsi="宋体" w:eastAsia="宋体" w:cs="宋体"/>
          <w:sz w:val="24"/>
        </w:rPr>
        <w:t>有下列情形之一的，视为供应商串通磋商，磋商无效：</w:t>
      </w:r>
    </w:p>
    <w:p w14:paraId="2A6EE7D8">
      <w:pPr>
        <w:spacing w:line="360" w:lineRule="auto"/>
        <w:ind w:firstLine="480" w:firstLineChars="200"/>
        <w:jc w:val="left"/>
        <w:rPr>
          <w:rFonts w:ascii="宋体" w:hAnsi="宋体" w:eastAsia="宋体" w:cs="宋体"/>
          <w:sz w:val="24"/>
        </w:rPr>
      </w:pPr>
      <w:r>
        <w:rPr>
          <w:rFonts w:hint="eastAsia" w:ascii="宋体" w:hAnsi="宋体" w:eastAsia="宋体" w:cs="宋体"/>
          <w:sz w:val="24"/>
        </w:rPr>
        <w:t>(1)不同供应商的响应文件由同一单位或者个人编制；</w:t>
      </w:r>
    </w:p>
    <w:p w14:paraId="7BC1100C">
      <w:pPr>
        <w:spacing w:line="360" w:lineRule="auto"/>
        <w:ind w:firstLine="480" w:firstLineChars="200"/>
        <w:jc w:val="left"/>
        <w:rPr>
          <w:rFonts w:ascii="宋体" w:hAnsi="宋体" w:eastAsia="宋体" w:cs="宋体"/>
          <w:sz w:val="24"/>
        </w:rPr>
      </w:pPr>
      <w:r>
        <w:rPr>
          <w:rFonts w:hint="eastAsia" w:ascii="宋体" w:hAnsi="宋体" w:eastAsia="宋体" w:cs="宋体"/>
          <w:sz w:val="24"/>
        </w:rPr>
        <w:t>(2)不同供应商委托同一单位或者个人办理磋商事宜；</w:t>
      </w:r>
    </w:p>
    <w:p w14:paraId="3891A09C">
      <w:pPr>
        <w:spacing w:line="360" w:lineRule="auto"/>
        <w:ind w:firstLine="480" w:firstLineChars="200"/>
        <w:jc w:val="left"/>
        <w:rPr>
          <w:rFonts w:ascii="宋体" w:hAnsi="宋体" w:eastAsia="宋体" w:cs="宋体"/>
          <w:sz w:val="24"/>
        </w:rPr>
      </w:pPr>
      <w:r>
        <w:rPr>
          <w:rFonts w:hint="eastAsia" w:ascii="宋体" w:hAnsi="宋体" w:eastAsia="宋体" w:cs="宋体"/>
          <w:sz w:val="24"/>
        </w:rPr>
        <w:t>(3)不同供应商的响应文件载明的项目管理成员或者联系人员为同一人；</w:t>
      </w:r>
    </w:p>
    <w:p w14:paraId="45CB4B13">
      <w:pPr>
        <w:spacing w:line="360" w:lineRule="auto"/>
        <w:ind w:firstLine="480" w:firstLineChars="200"/>
        <w:jc w:val="left"/>
        <w:rPr>
          <w:rFonts w:ascii="宋体" w:hAnsi="宋体" w:eastAsia="宋体" w:cs="宋体"/>
          <w:sz w:val="24"/>
        </w:rPr>
      </w:pPr>
      <w:r>
        <w:rPr>
          <w:rFonts w:hint="eastAsia" w:ascii="宋体" w:hAnsi="宋体" w:eastAsia="宋体" w:cs="宋体"/>
          <w:sz w:val="24"/>
        </w:rPr>
        <w:t>(4)不同供应商的响应文件异常一致或者磋商报价呈规律性差异；</w:t>
      </w:r>
    </w:p>
    <w:p w14:paraId="230BFFE8">
      <w:pPr>
        <w:spacing w:line="360" w:lineRule="auto"/>
        <w:ind w:firstLine="480" w:firstLineChars="200"/>
        <w:jc w:val="left"/>
        <w:rPr>
          <w:rFonts w:ascii="宋体" w:hAnsi="宋体" w:eastAsia="宋体" w:cs="宋体"/>
          <w:sz w:val="24"/>
        </w:rPr>
      </w:pPr>
      <w:r>
        <w:rPr>
          <w:rFonts w:hint="eastAsia" w:ascii="宋体" w:hAnsi="宋体" w:eastAsia="宋体" w:cs="宋体"/>
          <w:sz w:val="24"/>
        </w:rPr>
        <w:t>(5)不同供应商的响应文件相互混装。</w:t>
      </w:r>
    </w:p>
    <w:p w14:paraId="1E651F41">
      <w:pPr>
        <w:spacing w:line="360" w:lineRule="auto"/>
        <w:ind w:firstLine="480" w:firstLineChars="200"/>
        <w:jc w:val="left"/>
        <w:rPr>
          <w:rFonts w:ascii="宋体" w:hAnsi="宋体" w:eastAsia="宋体" w:cs="宋体"/>
          <w:sz w:val="24"/>
        </w:rPr>
      </w:pPr>
    </w:p>
    <w:p w14:paraId="286CCE64">
      <w:pPr>
        <w:pStyle w:val="4"/>
        <w:spacing w:line="360" w:lineRule="auto"/>
        <w:rPr>
          <w:rFonts w:ascii="宋体" w:hAnsi="宋体" w:eastAsia="宋体" w:cs="宋体"/>
          <w:sz w:val="24"/>
        </w:rPr>
      </w:pPr>
      <w:bookmarkStart w:id="52" w:name="_Toc211511442"/>
      <w:r>
        <w:rPr>
          <w:rFonts w:hint="eastAsia" w:ascii="宋体" w:hAnsi="宋体" w:eastAsia="宋体" w:cs="宋体"/>
          <w:sz w:val="24"/>
        </w:rPr>
        <w:t>22.响应文件的澄清</w:t>
      </w:r>
      <w:bookmarkEnd w:id="52"/>
    </w:p>
    <w:p w14:paraId="56D71D8E">
      <w:pPr>
        <w:spacing w:line="360" w:lineRule="auto"/>
        <w:ind w:firstLine="480" w:firstLineChars="200"/>
        <w:jc w:val="left"/>
        <w:rPr>
          <w:rFonts w:ascii="宋体" w:hAnsi="宋体" w:eastAsia="宋体" w:cs="宋体"/>
          <w:sz w:val="24"/>
        </w:rPr>
      </w:pPr>
      <w:r>
        <w:rPr>
          <w:rFonts w:hint="eastAsia" w:ascii="宋体" w:hAnsi="宋体" w:eastAsia="宋体" w:cs="宋体"/>
          <w:sz w:val="24"/>
        </w:rPr>
        <w:t>22.1供应商应根据磋商小组要求对相关问题进行澄清、说明或者补正，并加盖公章。供应商的澄清、说明或者补正不得超出响应文件的范围或者改变响应文件的实质性内容。</w:t>
      </w:r>
    </w:p>
    <w:p w14:paraId="1595AF39">
      <w:pPr>
        <w:rPr>
          <w:rFonts w:ascii="宋体" w:hAnsi="宋体"/>
          <w:sz w:val="24"/>
        </w:rPr>
      </w:pPr>
      <w:bookmarkStart w:id="53" w:name="EBc9267927ab09462cb2a1dad891272a2f"/>
      <w:r>
        <w:rPr>
          <w:rFonts w:ascii="Segoe UI Symbol" w:hAnsi="Segoe UI Symbol" w:cs="Segoe UI Symbol"/>
          <w:sz w:val="24"/>
        </w:rPr>
        <w:t>☑</w:t>
      </w:r>
      <w:bookmarkEnd w:id="53"/>
      <w:bookmarkStart w:id="54" w:name="EB840788620d844f9da51ffe49f1f6c40e"/>
      <w:r>
        <w:rPr>
          <w:rFonts w:hint="eastAsia" w:ascii="宋体" w:hAnsi="宋体" w:eastAsia="宋体" w:cs="宋体"/>
          <w:sz w:val="24"/>
        </w:rPr>
        <w:t>投标人可登录电子交易平台进入“</w:t>
      </w:r>
      <w:r>
        <w:rPr>
          <w:rFonts w:hint="eastAsia" w:ascii="宋体" w:hAnsi="宋体"/>
          <w:sz w:val="24"/>
        </w:rPr>
        <w:t>答疑澄清-点击反馈”进行在线澄清，操作指南详见http://ggzy.zhenjiang.gov.cn/zjzc/cgzn/013003/（“苏采云”系统供应商操作手册）。</w:t>
      </w:r>
      <w:bookmarkEnd w:id="54"/>
    </w:p>
    <w:p w14:paraId="2A6FE0FF">
      <w:pPr>
        <w:pStyle w:val="3"/>
      </w:pPr>
    </w:p>
    <w:p w14:paraId="21174E76">
      <w:pPr>
        <w:pStyle w:val="4"/>
        <w:spacing w:line="360" w:lineRule="auto"/>
        <w:rPr>
          <w:rFonts w:ascii="宋体" w:hAnsi="宋体" w:eastAsia="宋体" w:cs="宋体"/>
          <w:sz w:val="24"/>
        </w:rPr>
      </w:pPr>
      <w:bookmarkStart w:id="55" w:name="_Toc211511443"/>
      <w:r>
        <w:rPr>
          <w:rFonts w:hint="eastAsia" w:ascii="宋体" w:hAnsi="宋体" w:eastAsia="宋体" w:cs="宋体"/>
          <w:sz w:val="24"/>
        </w:rPr>
        <w:t>23.磋商内容</w:t>
      </w:r>
      <w:bookmarkEnd w:id="55"/>
    </w:p>
    <w:p w14:paraId="5B6C244D">
      <w:pPr>
        <w:spacing w:line="360" w:lineRule="auto"/>
        <w:ind w:firstLine="480" w:firstLineChars="200"/>
        <w:jc w:val="left"/>
        <w:rPr>
          <w:rFonts w:ascii="宋体" w:hAnsi="宋体" w:eastAsia="宋体" w:cs="宋体"/>
          <w:sz w:val="24"/>
        </w:rPr>
      </w:pPr>
      <w:r>
        <w:rPr>
          <w:rFonts w:hint="eastAsia" w:ascii="宋体" w:hAnsi="宋体" w:eastAsia="宋体" w:cs="宋体"/>
          <w:sz w:val="24"/>
        </w:rPr>
        <w:t>23.1磋商小组与符合条件的供应商就磋商文件中的技术、服务要求及合同草案条款等进行磋商。</w:t>
      </w:r>
    </w:p>
    <w:p w14:paraId="5EB981ED">
      <w:pPr>
        <w:spacing w:line="360" w:lineRule="auto"/>
        <w:ind w:firstLine="480" w:firstLineChars="200"/>
        <w:jc w:val="left"/>
        <w:rPr>
          <w:rFonts w:ascii="宋体" w:hAnsi="宋体" w:eastAsia="宋体" w:cs="宋体"/>
          <w:sz w:val="24"/>
        </w:rPr>
      </w:pPr>
      <w:r>
        <w:rPr>
          <w:rFonts w:hint="eastAsia" w:ascii="宋体" w:hAnsi="宋体" w:eastAsia="宋体" w:cs="宋体"/>
          <w:sz w:val="24"/>
        </w:rPr>
        <w:t>23.2在磋商过程中，磋商小组可以根据磋商文件和磋商情况实质性变动采购需求中的技术、服务要求以及合同草案条款，但不得变动磋商文件中的其他内容。实质性变动的内容，须经采购人代表书面确认后进行。</w:t>
      </w:r>
    </w:p>
    <w:p w14:paraId="0DBA46C7">
      <w:pPr>
        <w:spacing w:line="360" w:lineRule="auto"/>
        <w:ind w:firstLine="480" w:firstLineChars="200"/>
        <w:jc w:val="left"/>
        <w:rPr>
          <w:rFonts w:ascii="宋体" w:hAnsi="宋体" w:eastAsia="宋体" w:cs="宋体"/>
          <w:sz w:val="24"/>
        </w:rPr>
      </w:pPr>
      <w:r>
        <w:rPr>
          <w:rFonts w:hint="eastAsia" w:ascii="宋体" w:hAnsi="宋体" w:eastAsia="宋体" w:cs="宋体"/>
          <w:sz w:val="24"/>
        </w:rPr>
        <w:t>根据磋商文件和磋商情况作出的实质性变动是磋商文件的有效组成部分，磋商小组将及时以书面形式同时通知所有参加磋商的供应商。</w:t>
      </w:r>
    </w:p>
    <w:p w14:paraId="3E3A066D">
      <w:pPr>
        <w:spacing w:line="360" w:lineRule="auto"/>
        <w:ind w:firstLine="480" w:firstLineChars="200"/>
        <w:jc w:val="left"/>
        <w:rPr>
          <w:rFonts w:ascii="宋体" w:hAnsi="宋体" w:eastAsia="宋体" w:cs="宋体"/>
          <w:sz w:val="24"/>
          <w:u w:val="single"/>
        </w:rPr>
      </w:pPr>
      <w:r>
        <w:rPr>
          <w:rFonts w:hint="eastAsia" w:ascii="宋体" w:hAnsi="宋体" w:eastAsia="宋体" w:cs="宋体"/>
          <w:sz w:val="24"/>
          <w:u w:val="single"/>
        </w:rPr>
        <w:t>供应商应当按照磋商文件的变动情况和磋商小组的要求重新提交响应文件，并由其法定代表人或授权委托代理人签字或者加盖公章。由授权委托代理人签字的，应当附法定代表人授权书。</w:t>
      </w:r>
    </w:p>
    <w:p w14:paraId="53155E09">
      <w:pPr>
        <w:spacing w:line="360" w:lineRule="auto"/>
        <w:ind w:firstLine="480" w:firstLineChars="200"/>
        <w:jc w:val="left"/>
        <w:rPr>
          <w:rFonts w:ascii="宋体" w:hAnsi="宋体" w:eastAsia="宋体" w:cs="宋体"/>
          <w:sz w:val="24"/>
        </w:rPr>
      </w:pPr>
      <w:r>
        <w:rPr>
          <w:rFonts w:hint="eastAsia" w:ascii="宋体" w:hAnsi="宋体" w:eastAsia="宋体" w:cs="宋体"/>
          <w:sz w:val="24"/>
        </w:rPr>
        <w:t>23.3已提交响应文件的供应商，由于磋商小组实质性变动采购需求中的技术、服务要求以及合同草案条款，在提交最后报价之前，可以根据磋商情况退出磋商。若采购需求未发生实质性变动，供应商不得退出磋商。</w:t>
      </w:r>
    </w:p>
    <w:p w14:paraId="75C56252">
      <w:pPr>
        <w:spacing w:line="360" w:lineRule="auto"/>
        <w:ind w:firstLine="480" w:firstLineChars="200"/>
        <w:jc w:val="left"/>
        <w:rPr>
          <w:rFonts w:ascii="宋体" w:hAnsi="宋体" w:eastAsia="宋体" w:cs="宋体"/>
          <w:sz w:val="24"/>
        </w:rPr>
      </w:pPr>
    </w:p>
    <w:p w14:paraId="3059E8F0">
      <w:pPr>
        <w:pStyle w:val="4"/>
        <w:spacing w:line="360" w:lineRule="auto"/>
        <w:rPr>
          <w:rFonts w:ascii="宋体" w:hAnsi="宋体" w:eastAsia="宋体" w:cs="宋体"/>
          <w:sz w:val="24"/>
        </w:rPr>
      </w:pPr>
      <w:bookmarkStart w:id="56" w:name="_Toc211511444"/>
      <w:r>
        <w:rPr>
          <w:rFonts w:hint="eastAsia" w:ascii="宋体" w:hAnsi="宋体" w:eastAsia="宋体" w:cs="宋体"/>
          <w:sz w:val="24"/>
        </w:rPr>
        <w:t>24.最后报价的提交</w:t>
      </w:r>
      <w:bookmarkEnd w:id="56"/>
    </w:p>
    <w:p w14:paraId="286741F6">
      <w:pPr>
        <w:spacing w:line="360" w:lineRule="auto"/>
        <w:ind w:firstLine="480" w:firstLineChars="200"/>
        <w:jc w:val="left"/>
        <w:rPr>
          <w:rFonts w:ascii="宋体" w:hAnsi="宋体" w:eastAsia="宋体" w:cs="宋体"/>
          <w:sz w:val="24"/>
        </w:rPr>
      </w:pPr>
      <w:r>
        <w:rPr>
          <w:rFonts w:hint="eastAsia" w:ascii="宋体" w:hAnsi="宋体" w:eastAsia="宋体" w:cs="宋体"/>
          <w:sz w:val="24"/>
        </w:rPr>
        <w:t>24.1磋商文件能够详细列明采购标的的技术、服务要求的，磋商结束后，磋商小组应当要求所有实质性响应的供应商在规定时间内提交最后总报价和最后明细报价，提交最后报价的供应商不得少于3家。</w:t>
      </w:r>
    </w:p>
    <w:p w14:paraId="1C5A36D6">
      <w:pPr>
        <w:spacing w:line="360" w:lineRule="auto"/>
        <w:ind w:firstLine="480" w:firstLineChars="200"/>
        <w:jc w:val="left"/>
        <w:rPr>
          <w:rFonts w:ascii="宋体" w:hAnsi="宋体" w:eastAsia="宋体" w:cs="宋体"/>
          <w:sz w:val="24"/>
        </w:rPr>
      </w:pPr>
      <w:r>
        <w:rPr>
          <w:rFonts w:hint="eastAsia" w:ascii="宋体" w:hAnsi="宋体" w:eastAsia="宋体" w:cs="宋体"/>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p>
    <w:p w14:paraId="4BF6799F">
      <w:pPr>
        <w:spacing w:line="360" w:lineRule="auto"/>
        <w:ind w:firstLine="480" w:firstLineChars="200"/>
        <w:jc w:val="left"/>
        <w:rPr>
          <w:rFonts w:ascii="宋体" w:hAnsi="宋体" w:eastAsia="宋体" w:cs="宋体"/>
          <w:sz w:val="24"/>
        </w:rPr>
      </w:pPr>
      <w:r>
        <w:rPr>
          <w:rFonts w:hint="eastAsia" w:ascii="宋体" w:hAnsi="宋体" w:eastAsia="宋体" w:cs="宋体"/>
          <w:sz w:val="24"/>
        </w:rPr>
        <w:t>最后报价是供应商响应文件的有效组成部分。符合《政府采购竞争性磋商采购方式管理暂行办法》第三条第四项及本须知第25.2项情形的，提交最后报价的供应商可以为2家。</w:t>
      </w:r>
    </w:p>
    <w:p w14:paraId="49A4A659">
      <w:pPr>
        <w:spacing w:line="360" w:lineRule="auto"/>
        <w:ind w:firstLine="480" w:firstLineChars="200"/>
        <w:jc w:val="left"/>
        <w:rPr>
          <w:rFonts w:ascii="宋体" w:hAnsi="宋体" w:eastAsia="宋体" w:cs="宋体"/>
          <w:sz w:val="24"/>
        </w:rPr>
      </w:pPr>
    </w:p>
    <w:p w14:paraId="4C8E7927">
      <w:pPr>
        <w:pStyle w:val="4"/>
        <w:spacing w:line="360" w:lineRule="auto"/>
        <w:rPr>
          <w:rFonts w:ascii="宋体" w:hAnsi="宋体" w:eastAsia="宋体" w:cs="宋体"/>
          <w:sz w:val="24"/>
        </w:rPr>
      </w:pPr>
      <w:bookmarkStart w:id="57" w:name="_Toc211511445"/>
      <w:r>
        <w:rPr>
          <w:rFonts w:hint="eastAsia" w:ascii="宋体" w:hAnsi="宋体" w:eastAsia="宋体" w:cs="宋体"/>
          <w:sz w:val="24"/>
        </w:rPr>
        <w:t>25.竞争性磋商特殊情况处理</w:t>
      </w:r>
      <w:bookmarkEnd w:id="57"/>
    </w:p>
    <w:p w14:paraId="474262BF">
      <w:pPr>
        <w:spacing w:line="360" w:lineRule="auto"/>
        <w:ind w:firstLine="480" w:firstLineChars="200"/>
        <w:jc w:val="left"/>
        <w:rPr>
          <w:rFonts w:ascii="宋体" w:hAnsi="宋体" w:eastAsia="宋体" w:cs="宋体"/>
          <w:sz w:val="24"/>
        </w:rPr>
      </w:pPr>
      <w:r>
        <w:rPr>
          <w:rFonts w:hint="eastAsia" w:ascii="宋体" w:hAnsi="宋体" w:eastAsia="宋体" w:cs="宋体"/>
          <w:sz w:val="24"/>
        </w:rPr>
        <w:t>25.1出现下列情形之一的，应当终止竞争性磋商采购活动，发布项目终止公告并说明原因，重新开展采购活动：</w:t>
      </w:r>
    </w:p>
    <w:p w14:paraId="58D314DF">
      <w:pPr>
        <w:spacing w:line="360" w:lineRule="auto"/>
        <w:ind w:firstLine="480" w:firstLineChars="200"/>
        <w:jc w:val="left"/>
        <w:rPr>
          <w:rFonts w:ascii="宋体" w:hAnsi="宋体" w:eastAsia="宋体" w:cs="宋体"/>
          <w:sz w:val="24"/>
        </w:rPr>
      </w:pPr>
      <w:r>
        <w:rPr>
          <w:rFonts w:hint="eastAsia" w:ascii="宋体" w:hAnsi="宋体" w:eastAsia="宋体" w:cs="宋体"/>
          <w:sz w:val="24"/>
        </w:rPr>
        <w:t>(1)因情况变化，不再符合规定的竞争性磋商采购方式适用情形的；</w:t>
      </w:r>
    </w:p>
    <w:p w14:paraId="34D4A6E6">
      <w:pPr>
        <w:spacing w:line="360" w:lineRule="auto"/>
        <w:ind w:firstLine="480" w:firstLineChars="200"/>
        <w:jc w:val="left"/>
        <w:rPr>
          <w:rFonts w:ascii="宋体" w:hAnsi="宋体" w:eastAsia="宋体" w:cs="宋体"/>
          <w:sz w:val="24"/>
        </w:rPr>
      </w:pPr>
      <w:r>
        <w:rPr>
          <w:rFonts w:hint="eastAsia" w:ascii="宋体" w:hAnsi="宋体" w:eastAsia="宋体" w:cs="宋体"/>
          <w:sz w:val="24"/>
        </w:rPr>
        <w:t>(2)出现影响采购公正的违法、违规行为的；</w:t>
      </w:r>
    </w:p>
    <w:p w14:paraId="5D139102">
      <w:pPr>
        <w:spacing w:line="360" w:lineRule="auto"/>
        <w:ind w:firstLine="480" w:firstLineChars="200"/>
        <w:jc w:val="left"/>
        <w:rPr>
          <w:rFonts w:ascii="宋体" w:hAnsi="宋体" w:eastAsia="宋体" w:cs="宋体"/>
          <w:sz w:val="24"/>
        </w:rPr>
      </w:pPr>
      <w:r>
        <w:rPr>
          <w:rFonts w:hint="eastAsia" w:ascii="宋体" w:hAnsi="宋体" w:eastAsia="宋体" w:cs="宋体"/>
          <w:sz w:val="24"/>
        </w:rPr>
        <w:t>(3)除《政府采购竞争性磋商采购方式管理暂行办法》第三条第四项规定的情形外，在采购过程中符合要求的供应商或者报价未超过采购预算的供应商不足3家的。</w:t>
      </w:r>
    </w:p>
    <w:p w14:paraId="52AED031">
      <w:pPr>
        <w:spacing w:line="360" w:lineRule="auto"/>
        <w:ind w:firstLine="482" w:firstLineChars="200"/>
        <w:jc w:val="left"/>
        <w:rPr>
          <w:rFonts w:ascii="宋体" w:hAnsi="宋体" w:eastAsia="宋体" w:cs="宋体"/>
          <w:sz w:val="24"/>
        </w:rPr>
      </w:pPr>
      <w:r>
        <w:rPr>
          <w:rFonts w:hint="eastAsia" w:ascii="宋体" w:hAnsi="宋体" w:eastAsia="宋体" w:cs="宋体"/>
          <w:b/>
          <w:bCs/>
          <w:sz w:val="24"/>
        </w:rPr>
        <w:t>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1775D92C">
      <w:pPr>
        <w:spacing w:line="360" w:lineRule="auto"/>
        <w:ind w:firstLine="480" w:firstLineChars="200"/>
        <w:jc w:val="left"/>
        <w:rPr>
          <w:rFonts w:ascii="宋体" w:hAnsi="宋体" w:eastAsia="宋体" w:cs="宋体"/>
          <w:sz w:val="24"/>
        </w:rPr>
      </w:pPr>
      <w:r>
        <w:rPr>
          <w:rFonts w:hint="eastAsia" w:ascii="宋体" w:hAnsi="宋体" w:eastAsia="宋体" w:cs="宋体"/>
          <w:sz w:val="24"/>
        </w:rPr>
        <w:t>25.3因重大变故，采购任务取消的则该磋商活动取消，采购人应当将取消理由通知所有供应商。</w:t>
      </w:r>
    </w:p>
    <w:p w14:paraId="1F1919A5">
      <w:pPr>
        <w:pStyle w:val="3"/>
        <w:spacing w:before="405" w:beforeLines="130" w:after="405" w:afterLines="130" w:line="360" w:lineRule="auto"/>
        <w:jc w:val="center"/>
      </w:pPr>
      <w:bookmarkStart w:id="58" w:name="_Toc211511446"/>
      <w:r>
        <w:rPr>
          <w:rFonts w:hint="eastAsia"/>
        </w:rPr>
        <w:t>五、确定成交结果</w:t>
      </w:r>
      <w:bookmarkEnd w:id="58"/>
    </w:p>
    <w:p w14:paraId="20F98C4F">
      <w:pPr>
        <w:pStyle w:val="4"/>
        <w:spacing w:line="360" w:lineRule="auto"/>
        <w:rPr>
          <w:rFonts w:ascii="宋体" w:hAnsi="宋体" w:eastAsia="宋体" w:cs="宋体"/>
          <w:sz w:val="24"/>
        </w:rPr>
      </w:pPr>
      <w:bookmarkStart w:id="59" w:name="_Toc211511447"/>
      <w:r>
        <w:rPr>
          <w:rFonts w:hint="eastAsia" w:ascii="宋体" w:hAnsi="宋体" w:eastAsia="宋体" w:cs="宋体"/>
          <w:sz w:val="24"/>
        </w:rPr>
        <w:t>26.确定成交供应商</w:t>
      </w:r>
      <w:bookmarkEnd w:id="59"/>
    </w:p>
    <w:p w14:paraId="30288B74">
      <w:pPr>
        <w:spacing w:line="360" w:lineRule="auto"/>
        <w:ind w:firstLine="480" w:firstLineChars="200"/>
        <w:jc w:val="left"/>
        <w:rPr>
          <w:rFonts w:ascii="宋体" w:hAnsi="宋体" w:eastAsia="宋体" w:cs="宋体"/>
          <w:sz w:val="24"/>
        </w:rPr>
      </w:pPr>
      <w:r>
        <w:rPr>
          <w:rFonts w:hint="eastAsia" w:ascii="宋体" w:hAnsi="宋体" w:eastAsia="宋体" w:cs="宋体"/>
          <w:sz w:val="24"/>
        </w:rPr>
        <w:t>26.1采购人从评审报告提出的成交候选供应商中，按照排序由高到低的原则确定成交供应商。</w:t>
      </w:r>
    </w:p>
    <w:p w14:paraId="1E7ABA75">
      <w:pPr>
        <w:pStyle w:val="3"/>
        <w:spacing w:before="405" w:beforeLines="130" w:after="405" w:afterLines="130" w:line="360" w:lineRule="auto"/>
        <w:jc w:val="center"/>
      </w:pPr>
      <w:bookmarkStart w:id="60" w:name="_Toc211511448"/>
      <w:r>
        <w:rPr>
          <w:rFonts w:hint="eastAsia"/>
        </w:rPr>
        <w:t>六、授予合同</w:t>
      </w:r>
      <w:bookmarkEnd w:id="60"/>
    </w:p>
    <w:p w14:paraId="654FE1C2">
      <w:pPr>
        <w:pStyle w:val="4"/>
        <w:spacing w:line="360" w:lineRule="auto"/>
        <w:rPr>
          <w:rFonts w:ascii="宋体" w:hAnsi="宋体" w:eastAsia="宋体" w:cs="宋体"/>
          <w:sz w:val="24"/>
        </w:rPr>
      </w:pPr>
      <w:bookmarkStart w:id="61" w:name="_Toc211511449"/>
      <w:r>
        <w:rPr>
          <w:rFonts w:hint="eastAsia" w:ascii="宋体" w:hAnsi="宋体" w:eastAsia="宋体" w:cs="宋体"/>
          <w:sz w:val="24"/>
        </w:rPr>
        <w:t>27.磋商组织方接受和拒绝任何或所有响应的权利</w:t>
      </w:r>
      <w:bookmarkEnd w:id="61"/>
    </w:p>
    <w:p w14:paraId="1A71C916">
      <w:pPr>
        <w:spacing w:line="360" w:lineRule="auto"/>
        <w:ind w:firstLine="480" w:firstLineChars="200"/>
        <w:jc w:val="left"/>
        <w:rPr>
          <w:rFonts w:ascii="宋体" w:hAnsi="宋体" w:eastAsia="宋体" w:cs="宋体"/>
          <w:sz w:val="24"/>
        </w:rPr>
      </w:pPr>
      <w:r>
        <w:rPr>
          <w:rFonts w:hint="eastAsia" w:ascii="宋体" w:hAnsi="宋体" w:eastAsia="宋体" w:cs="宋体"/>
          <w:sz w:val="24"/>
        </w:rPr>
        <w:t>27.1为维护国家和社会公共利益，磋商组织方保留在授标之前任何时候接受或拒绝任何供应商成交的权利，且对受影响的供应商不承担任何责任。</w:t>
      </w:r>
    </w:p>
    <w:p w14:paraId="1A3C0F09">
      <w:pPr>
        <w:spacing w:line="360" w:lineRule="auto"/>
        <w:ind w:firstLine="480" w:firstLineChars="200"/>
        <w:jc w:val="left"/>
        <w:rPr>
          <w:rFonts w:ascii="宋体" w:hAnsi="宋体" w:eastAsia="宋体" w:cs="宋体"/>
          <w:sz w:val="24"/>
        </w:rPr>
      </w:pPr>
      <w:r>
        <w:rPr>
          <w:rFonts w:hint="eastAsia" w:ascii="宋体" w:hAnsi="宋体" w:eastAsia="宋体" w:cs="宋体"/>
          <w:sz w:val="24"/>
        </w:rPr>
        <w:t>27.2因不可抗力或成交供应商不能履约等情形，磋商组织方保留与其他候选供应商签订合同的权利。</w:t>
      </w:r>
    </w:p>
    <w:p w14:paraId="0D198F09">
      <w:pPr>
        <w:spacing w:line="360" w:lineRule="auto"/>
        <w:ind w:firstLine="480" w:firstLineChars="200"/>
        <w:jc w:val="left"/>
        <w:rPr>
          <w:rFonts w:ascii="宋体" w:hAnsi="宋体" w:eastAsia="宋体" w:cs="宋体"/>
          <w:sz w:val="24"/>
        </w:rPr>
      </w:pPr>
    </w:p>
    <w:p w14:paraId="2890F9AE">
      <w:pPr>
        <w:pStyle w:val="4"/>
        <w:spacing w:line="360" w:lineRule="auto"/>
        <w:rPr>
          <w:rFonts w:ascii="宋体" w:hAnsi="宋体" w:eastAsia="宋体" w:cs="宋体"/>
          <w:sz w:val="24"/>
        </w:rPr>
      </w:pPr>
      <w:bookmarkStart w:id="62" w:name="_Toc211511450"/>
      <w:r>
        <w:rPr>
          <w:rFonts w:hint="eastAsia" w:ascii="宋体" w:hAnsi="宋体" w:eastAsia="宋体" w:cs="宋体"/>
          <w:sz w:val="24"/>
        </w:rPr>
        <w:t>28.成交通知书</w:t>
      </w:r>
      <w:bookmarkEnd w:id="62"/>
    </w:p>
    <w:p w14:paraId="62B6DBB1">
      <w:pPr>
        <w:spacing w:line="360" w:lineRule="auto"/>
        <w:ind w:firstLine="480" w:firstLineChars="200"/>
        <w:jc w:val="left"/>
        <w:rPr>
          <w:rFonts w:ascii="宋体" w:hAnsi="宋体" w:eastAsia="宋体" w:cs="宋体"/>
          <w:sz w:val="24"/>
        </w:rPr>
      </w:pPr>
      <w:r>
        <w:rPr>
          <w:rFonts w:hint="eastAsia" w:ascii="宋体" w:hAnsi="宋体" w:eastAsia="宋体" w:cs="宋体"/>
          <w:sz w:val="24"/>
        </w:rPr>
        <w:t>28.1在磋商响应有效期期满之前，磋商组织方将以书面形式通知成交供应商，成交供应商在收到成交通知书后，须立即以书面形式回复磋商组织方，确认成交通知书已收，并同意接受。</w:t>
      </w:r>
    </w:p>
    <w:p w14:paraId="1C1711E9">
      <w:pPr>
        <w:spacing w:line="360" w:lineRule="auto"/>
        <w:ind w:firstLine="480" w:firstLineChars="200"/>
        <w:jc w:val="left"/>
        <w:rPr>
          <w:rFonts w:ascii="宋体" w:hAnsi="宋体" w:eastAsia="宋体" w:cs="宋体"/>
          <w:sz w:val="24"/>
        </w:rPr>
      </w:pPr>
      <w:r>
        <w:rPr>
          <w:rFonts w:hint="eastAsia" w:ascii="宋体" w:hAnsi="宋体" w:eastAsia="宋体" w:cs="宋体"/>
          <w:sz w:val="24"/>
        </w:rPr>
        <w:t>28.2成交通知书发出后，采购人不得违法改变成交结果，成交供应商无正当理由不得放弃成交。</w:t>
      </w:r>
    </w:p>
    <w:p w14:paraId="3C16CDBE">
      <w:pPr>
        <w:spacing w:line="360" w:lineRule="auto"/>
        <w:ind w:firstLine="480" w:firstLineChars="200"/>
        <w:jc w:val="left"/>
        <w:rPr>
          <w:rFonts w:ascii="宋体" w:hAnsi="宋体" w:eastAsia="宋体" w:cs="宋体"/>
          <w:sz w:val="24"/>
        </w:rPr>
      </w:pPr>
    </w:p>
    <w:p w14:paraId="51DFD168">
      <w:pPr>
        <w:pStyle w:val="4"/>
        <w:spacing w:line="360" w:lineRule="auto"/>
        <w:rPr>
          <w:rFonts w:ascii="宋体" w:hAnsi="宋体" w:eastAsia="宋体" w:cs="宋体"/>
          <w:sz w:val="24"/>
        </w:rPr>
      </w:pPr>
      <w:bookmarkStart w:id="63" w:name="_Toc211511451"/>
      <w:r>
        <w:rPr>
          <w:rFonts w:hint="eastAsia" w:ascii="宋体" w:hAnsi="宋体" w:eastAsia="宋体" w:cs="宋体"/>
          <w:sz w:val="24"/>
        </w:rPr>
        <w:t>29.签订合同</w:t>
      </w:r>
      <w:bookmarkEnd w:id="63"/>
    </w:p>
    <w:p w14:paraId="12716564">
      <w:pPr>
        <w:spacing w:line="360" w:lineRule="auto"/>
        <w:ind w:firstLine="480" w:firstLineChars="200"/>
        <w:jc w:val="left"/>
        <w:rPr>
          <w:rFonts w:ascii="宋体" w:hAnsi="宋体" w:eastAsia="宋体" w:cs="宋体"/>
          <w:sz w:val="24"/>
        </w:rPr>
      </w:pPr>
    </w:p>
    <w:p w14:paraId="234B624E">
      <w:pPr>
        <w:spacing w:line="360" w:lineRule="auto"/>
        <w:ind w:firstLine="480" w:firstLineChars="200"/>
        <w:jc w:val="left"/>
        <w:rPr>
          <w:rFonts w:ascii="宋体" w:hAnsi="宋体" w:eastAsia="宋体" w:cs="宋体"/>
          <w:sz w:val="24"/>
        </w:rPr>
      </w:pPr>
      <w:r>
        <w:rPr>
          <w:rFonts w:hint="eastAsia" w:ascii="宋体" w:hAnsi="宋体" w:eastAsia="宋体" w:cs="宋体"/>
          <w:sz w:val="24"/>
        </w:rPr>
        <w:t>29.1采购人应当自成交通知书发出之日起15日内，按照磋商文件、成交供应商磋商响应文件以及磋商过程中确定的事项，与成交供应商签订政府采购合同。采购人不得向成交人提出任何不合理的要求作为签订合同的条件。</w:t>
      </w:r>
    </w:p>
    <w:p w14:paraId="1E070DEC">
      <w:pPr>
        <w:spacing w:line="360" w:lineRule="auto"/>
        <w:ind w:firstLine="480" w:firstLineChars="200"/>
        <w:jc w:val="left"/>
        <w:rPr>
          <w:rFonts w:ascii="宋体" w:hAnsi="宋体" w:eastAsia="宋体" w:cs="宋体"/>
          <w:sz w:val="24"/>
        </w:rPr>
      </w:pPr>
      <w:r>
        <w:rPr>
          <w:rFonts w:hint="eastAsia" w:ascii="宋体" w:hAnsi="宋体" w:eastAsia="宋体" w:cs="宋体"/>
          <w:sz w:val="24"/>
        </w:rPr>
        <w:t>29.2政府采购合同应当包括采购人与成交人的名称和住所、标的、数量、质量、价款或者报酬、履行期限及地点和方式、验收要求、违约责任、解决争议的方法等内容。</w:t>
      </w:r>
    </w:p>
    <w:p w14:paraId="0FADEA6F">
      <w:pPr>
        <w:spacing w:line="360" w:lineRule="auto"/>
        <w:ind w:firstLine="480" w:firstLineChars="200"/>
        <w:jc w:val="left"/>
        <w:rPr>
          <w:rFonts w:ascii="宋体" w:hAnsi="宋体" w:eastAsia="宋体" w:cs="宋体"/>
          <w:sz w:val="24"/>
        </w:rPr>
      </w:pPr>
      <w:r>
        <w:rPr>
          <w:rFonts w:hint="eastAsia" w:ascii="宋体" w:hAnsi="宋体" w:eastAsia="宋体" w:cs="宋体"/>
          <w:sz w:val="24"/>
        </w:rPr>
        <w:t>29.3合同履行中，采购人需追加与合同标的相同的服务时，在不改变合同其他条款的前提下，可以与成交人协商签订补充合同，但所有补充合同的采购金额不得超过原合同采购金额的百分之十。</w:t>
      </w:r>
    </w:p>
    <w:p w14:paraId="1E0753AE">
      <w:pPr>
        <w:spacing w:line="360" w:lineRule="auto"/>
        <w:ind w:firstLine="480" w:firstLineChars="200"/>
        <w:jc w:val="left"/>
        <w:rPr>
          <w:rFonts w:ascii="宋体" w:hAnsi="宋体" w:eastAsia="宋体" w:cs="宋体"/>
          <w:sz w:val="24"/>
        </w:rPr>
      </w:pPr>
      <w:r>
        <w:rPr>
          <w:rFonts w:hint="eastAsia" w:ascii="宋体" w:hAnsi="宋体" w:eastAsia="宋体" w:cs="宋体"/>
          <w:sz w:val="24"/>
        </w:rPr>
        <w:t>29.4采购结束后，采购人若由于各种客观原因，必须对采购项目所牵涉的货物和服务进行适当的减少时，在双方协商一致的前提下，可以按照磋商采购时的价格水平做相应的调减，并据此签订补充合同。</w:t>
      </w:r>
    </w:p>
    <w:p w14:paraId="1A220C43">
      <w:pPr>
        <w:spacing w:line="360" w:lineRule="auto"/>
        <w:ind w:firstLine="480" w:firstLineChars="200"/>
        <w:jc w:val="left"/>
        <w:rPr>
          <w:rFonts w:ascii="宋体" w:hAnsi="宋体" w:eastAsia="宋体" w:cs="宋体"/>
          <w:sz w:val="24"/>
        </w:rPr>
      </w:pPr>
      <w:r>
        <w:rPr>
          <w:rFonts w:hint="eastAsia" w:ascii="宋体" w:hAnsi="宋体" w:eastAsia="宋体" w:cs="宋体"/>
          <w:sz w:val="24"/>
        </w:rPr>
        <w:t>29.5采购人与成交人应当根据合同的约定依法履行合同义务。政府采购合同的履行、违约责任和解决争议的方法等适用《中华人民共和国民法典》。</w:t>
      </w:r>
    </w:p>
    <w:p w14:paraId="273D15D9">
      <w:pPr>
        <w:spacing w:line="360" w:lineRule="auto"/>
        <w:ind w:firstLine="480" w:firstLineChars="200"/>
        <w:jc w:val="left"/>
        <w:rPr>
          <w:rFonts w:ascii="宋体" w:hAnsi="宋体" w:eastAsia="宋体" w:cs="宋体"/>
          <w:sz w:val="24"/>
        </w:rPr>
      </w:pPr>
    </w:p>
    <w:p w14:paraId="6D7BDF73">
      <w:pPr>
        <w:pStyle w:val="4"/>
        <w:spacing w:line="360" w:lineRule="auto"/>
        <w:rPr>
          <w:rFonts w:ascii="宋体" w:hAnsi="宋体" w:eastAsia="宋体" w:cs="宋体"/>
          <w:sz w:val="24"/>
        </w:rPr>
      </w:pPr>
      <w:bookmarkStart w:id="64" w:name="_Toc211511452"/>
      <w:r>
        <w:rPr>
          <w:rFonts w:hint="eastAsia" w:ascii="宋体" w:hAnsi="宋体" w:eastAsia="宋体" w:cs="宋体"/>
          <w:sz w:val="24"/>
        </w:rPr>
        <w:t>30.履约保证金</w:t>
      </w:r>
      <w:bookmarkEnd w:id="64"/>
    </w:p>
    <w:p w14:paraId="443832C4">
      <w:pPr>
        <w:spacing w:line="360" w:lineRule="auto"/>
        <w:ind w:firstLine="480" w:firstLineChars="200"/>
        <w:jc w:val="left"/>
        <w:rPr>
          <w:rFonts w:ascii="宋体" w:hAnsi="宋体" w:eastAsia="宋体" w:cs="宋体"/>
          <w:sz w:val="24"/>
        </w:rPr>
      </w:pPr>
    </w:p>
    <w:p w14:paraId="3B0069F0">
      <w:pPr>
        <w:spacing w:line="360" w:lineRule="auto"/>
        <w:ind w:firstLine="480" w:firstLineChars="200"/>
        <w:jc w:val="left"/>
        <w:rPr>
          <w:rFonts w:ascii="宋体" w:hAnsi="宋体" w:eastAsia="宋体" w:cs="宋体"/>
          <w:sz w:val="24"/>
        </w:rPr>
      </w:pPr>
      <w:r>
        <w:rPr>
          <w:rFonts w:ascii="宋体" w:hAnsi="宋体" w:eastAsia="宋体" w:cs="宋体"/>
          <w:sz w:val="24"/>
        </w:rPr>
        <w:t xml:space="preserve">30.1 </w:t>
      </w:r>
    </w:p>
    <w:p w14:paraId="19ECE2C6">
      <w:pPr>
        <w:spacing w:line="360" w:lineRule="auto"/>
        <w:ind w:firstLine="480" w:firstLineChars="200"/>
        <w:jc w:val="left"/>
        <w:rPr>
          <w:rFonts w:ascii="宋体" w:hAnsi="宋体" w:eastAsia="宋体" w:cs="宋体"/>
          <w:sz w:val="24"/>
        </w:rPr>
      </w:pPr>
      <w:r>
        <w:rPr>
          <w:rFonts w:hint="eastAsia" w:ascii="宋体" w:hAnsi="宋体" w:eastAsia="宋体" w:cs="宋体"/>
          <w:sz w:val="24"/>
        </w:rPr>
        <w:t>A ☑本项目不收取履约保证金。</w:t>
      </w:r>
    </w:p>
    <w:p w14:paraId="2FC47D74">
      <w:pPr>
        <w:spacing w:line="360" w:lineRule="auto"/>
        <w:ind w:firstLine="480" w:firstLineChars="200"/>
        <w:jc w:val="left"/>
        <w:rPr>
          <w:rFonts w:ascii="宋体" w:hAnsi="宋体" w:eastAsia="宋体" w:cs="宋体"/>
          <w:sz w:val="24"/>
        </w:rPr>
      </w:pPr>
      <w:r>
        <w:rPr>
          <w:rFonts w:hint="eastAsia" w:ascii="宋体" w:hAnsi="宋体" w:eastAsia="宋体" w:cs="宋体"/>
          <w:sz w:val="24"/>
        </w:rPr>
        <w:t>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p>
    <w:p w14:paraId="200D9579">
      <w:pPr>
        <w:pStyle w:val="3"/>
        <w:spacing w:before="405" w:beforeLines="130" w:after="405" w:afterLines="130" w:line="360" w:lineRule="auto"/>
        <w:jc w:val="center"/>
      </w:pPr>
      <w:bookmarkStart w:id="65" w:name="_Toc211511453"/>
      <w:r>
        <w:rPr>
          <w:rFonts w:hint="eastAsia"/>
        </w:rPr>
        <w:t>七、询问、质疑、投诉</w:t>
      </w:r>
      <w:bookmarkEnd w:id="65"/>
    </w:p>
    <w:p w14:paraId="442BFDA0">
      <w:pPr>
        <w:pStyle w:val="4"/>
        <w:spacing w:line="360" w:lineRule="auto"/>
        <w:rPr>
          <w:rFonts w:ascii="宋体" w:hAnsi="宋体" w:eastAsia="宋体" w:cs="宋体"/>
          <w:sz w:val="24"/>
        </w:rPr>
      </w:pPr>
      <w:bookmarkStart w:id="66" w:name="_Toc211511454"/>
      <w:r>
        <w:rPr>
          <w:rFonts w:hint="eastAsia" w:ascii="宋体" w:hAnsi="宋体" w:eastAsia="宋体" w:cs="宋体"/>
          <w:sz w:val="24"/>
        </w:rPr>
        <w:t>31.询问</w:t>
      </w:r>
      <w:bookmarkEnd w:id="66"/>
    </w:p>
    <w:p w14:paraId="66ADC594">
      <w:pPr>
        <w:spacing w:line="360" w:lineRule="auto"/>
        <w:ind w:firstLine="480" w:firstLineChars="200"/>
        <w:jc w:val="left"/>
        <w:rPr>
          <w:rFonts w:ascii="宋体" w:hAnsi="宋体" w:eastAsia="宋体" w:cs="宋体"/>
          <w:sz w:val="24"/>
        </w:rPr>
      </w:pPr>
    </w:p>
    <w:p w14:paraId="3381B288">
      <w:pPr>
        <w:spacing w:line="360" w:lineRule="auto"/>
        <w:ind w:firstLine="480" w:firstLineChars="200"/>
        <w:jc w:val="left"/>
        <w:rPr>
          <w:rFonts w:ascii="宋体" w:hAnsi="宋体" w:eastAsia="宋体" w:cs="宋体"/>
          <w:sz w:val="24"/>
        </w:rPr>
      </w:pPr>
      <w:r>
        <w:rPr>
          <w:rFonts w:hint="eastAsia" w:ascii="宋体" w:hAnsi="宋体" w:eastAsia="宋体" w:cs="宋体"/>
          <w:sz w:val="24"/>
        </w:rPr>
        <w:t>供应商对磋商活动事项有疑问的，可以向采购人或磋商组织方提出询问，采购人或磋商组织方将依法作出答复，但答复的内容不得涉及商业秘密。</w:t>
      </w:r>
    </w:p>
    <w:p w14:paraId="11AAD73D">
      <w:pPr>
        <w:spacing w:line="360" w:lineRule="auto"/>
        <w:ind w:firstLine="480" w:firstLineChars="200"/>
        <w:jc w:val="left"/>
        <w:rPr>
          <w:rFonts w:ascii="宋体" w:hAnsi="宋体" w:eastAsia="宋体" w:cs="宋体"/>
          <w:sz w:val="24"/>
        </w:rPr>
      </w:pPr>
    </w:p>
    <w:p w14:paraId="620FEBBE">
      <w:pPr>
        <w:pStyle w:val="4"/>
        <w:spacing w:line="360" w:lineRule="auto"/>
        <w:rPr>
          <w:rFonts w:ascii="宋体" w:hAnsi="宋体" w:eastAsia="宋体" w:cs="宋体"/>
          <w:sz w:val="24"/>
        </w:rPr>
      </w:pPr>
      <w:bookmarkStart w:id="67" w:name="_Toc211511455"/>
      <w:r>
        <w:rPr>
          <w:rFonts w:hint="eastAsia" w:ascii="宋体" w:hAnsi="宋体" w:eastAsia="宋体" w:cs="宋体"/>
          <w:sz w:val="24"/>
        </w:rPr>
        <w:t>32.质疑</w:t>
      </w:r>
      <w:bookmarkEnd w:id="67"/>
    </w:p>
    <w:p w14:paraId="17D3B4CA">
      <w:pPr>
        <w:spacing w:line="360" w:lineRule="auto"/>
        <w:ind w:firstLine="480" w:firstLineChars="200"/>
        <w:jc w:val="left"/>
        <w:rPr>
          <w:rFonts w:ascii="宋体" w:hAnsi="宋体" w:eastAsia="宋体" w:cs="宋体"/>
          <w:sz w:val="24"/>
        </w:rPr>
      </w:pPr>
    </w:p>
    <w:p w14:paraId="2FCB57EA">
      <w:pPr>
        <w:spacing w:line="360" w:lineRule="auto"/>
        <w:ind w:firstLine="480" w:firstLineChars="200"/>
        <w:jc w:val="left"/>
        <w:rPr>
          <w:rFonts w:ascii="宋体" w:hAnsi="宋体" w:eastAsia="宋体" w:cs="宋体"/>
          <w:sz w:val="24"/>
        </w:rPr>
      </w:pPr>
      <w:r>
        <w:rPr>
          <w:rFonts w:hint="eastAsia" w:ascii="宋体" w:hAnsi="宋体" w:eastAsia="宋体" w:cs="宋体"/>
          <w:sz w:val="24"/>
        </w:rPr>
        <w:t>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p>
    <w:p w14:paraId="26F87E22">
      <w:pPr>
        <w:spacing w:line="360" w:lineRule="auto"/>
        <w:ind w:firstLine="480" w:firstLineChars="200"/>
        <w:jc w:val="left"/>
        <w:rPr>
          <w:rFonts w:ascii="宋体" w:hAnsi="宋体" w:eastAsia="宋体" w:cs="宋体"/>
          <w:sz w:val="24"/>
        </w:rPr>
      </w:pPr>
      <w:r>
        <w:rPr>
          <w:rFonts w:hint="eastAsia" w:ascii="宋体" w:hAnsi="宋体" w:eastAsia="宋体" w:cs="宋体"/>
          <w:sz w:val="24"/>
        </w:rPr>
        <w:t>以上规定的供应商应知其权益受到损害之日，是指：</w:t>
      </w:r>
    </w:p>
    <w:p w14:paraId="260B94D4">
      <w:pPr>
        <w:spacing w:line="360" w:lineRule="auto"/>
        <w:ind w:firstLine="480" w:firstLineChars="200"/>
        <w:jc w:val="left"/>
        <w:rPr>
          <w:rFonts w:ascii="宋体" w:hAnsi="宋体" w:eastAsia="宋体" w:cs="宋体"/>
          <w:sz w:val="24"/>
        </w:rPr>
      </w:pPr>
      <w:r>
        <w:rPr>
          <w:rFonts w:hint="eastAsia" w:ascii="宋体" w:hAnsi="宋体" w:eastAsia="宋体" w:cs="宋体"/>
          <w:sz w:val="24"/>
        </w:rPr>
        <w:t>(1)对可以质疑的磋商文件提出质疑的，为收到磋商文件之日或者磋商文件公告期限</w:t>
      </w:r>
    </w:p>
    <w:p w14:paraId="25593E84">
      <w:pPr>
        <w:spacing w:line="360" w:lineRule="auto"/>
        <w:jc w:val="left"/>
        <w:rPr>
          <w:rFonts w:ascii="宋体" w:hAnsi="宋体" w:eastAsia="宋体" w:cs="宋体"/>
          <w:sz w:val="24"/>
        </w:rPr>
      </w:pPr>
      <w:r>
        <w:rPr>
          <w:rFonts w:hint="eastAsia" w:ascii="宋体" w:hAnsi="宋体" w:eastAsia="宋体" w:cs="宋体"/>
          <w:sz w:val="24"/>
        </w:rPr>
        <w:t>届满之日；</w:t>
      </w:r>
    </w:p>
    <w:p w14:paraId="6BC01BF3">
      <w:pPr>
        <w:spacing w:line="360" w:lineRule="auto"/>
        <w:ind w:firstLine="480" w:firstLineChars="200"/>
        <w:jc w:val="left"/>
        <w:rPr>
          <w:rFonts w:ascii="宋体" w:hAnsi="宋体" w:eastAsia="宋体" w:cs="宋体"/>
          <w:sz w:val="24"/>
        </w:rPr>
      </w:pPr>
      <w:r>
        <w:rPr>
          <w:rFonts w:hint="eastAsia" w:ascii="宋体" w:hAnsi="宋体" w:eastAsia="宋体" w:cs="宋体"/>
          <w:sz w:val="24"/>
        </w:rPr>
        <w:t>(2)对采购过程提出质疑的，为各采购程序环节结束之日；</w:t>
      </w:r>
    </w:p>
    <w:p w14:paraId="43FD3CDA">
      <w:pPr>
        <w:spacing w:line="360" w:lineRule="auto"/>
        <w:ind w:firstLine="480" w:firstLineChars="200"/>
        <w:jc w:val="left"/>
        <w:rPr>
          <w:rFonts w:ascii="宋体" w:hAnsi="宋体" w:eastAsia="宋体" w:cs="宋体"/>
          <w:sz w:val="24"/>
        </w:rPr>
      </w:pPr>
      <w:r>
        <w:rPr>
          <w:rFonts w:hint="eastAsia" w:ascii="宋体" w:hAnsi="宋体" w:eastAsia="宋体" w:cs="宋体"/>
          <w:sz w:val="24"/>
        </w:rPr>
        <w:t>(3)对成交结果提出质疑的，为结果公告期限届满之日。</w:t>
      </w:r>
    </w:p>
    <w:p w14:paraId="65144F89">
      <w:pPr>
        <w:spacing w:line="360" w:lineRule="auto"/>
        <w:ind w:firstLine="480" w:firstLineChars="200"/>
        <w:jc w:val="left"/>
        <w:rPr>
          <w:rFonts w:ascii="宋体" w:hAnsi="宋体" w:eastAsia="宋体" w:cs="宋体"/>
          <w:sz w:val="24"/>
        </w:rPr>
      </w:pPr>
      <w:r>
        <w:rPr>
          <w:rFonts w:hint="eastAsia" w:ascii="宋体" w:hAnsi="宋体" w:eastAsia="宋体" w:cs="宋体"/>
          <w:sz w:val="24"/>
        </w:rPr>
        <w:t>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p>
    <w:p w14:paraId="573C1A87">
      <w:pPr>
        <w:spacing w:line="360" w:lineRule="auto"/>
        <w:ind w:firstLine="480" w:firstLineChars="200"/>
        <w:jc w:val="left"/>
        <w:rPr>
          <w:rFonts w:ascii="宋体" w:hAnsi="宋体" w:eastAsia="宋体" w:cs="宋体"/>
          <w:sz w:val="24"/>
        </w:rPr>
      </w:pPr>
      <w:r>
        <w:rPr>
          <w:rFonts w:hint="eastAsia" w:ascii="宋体" w:hAnsi="宋体" w:eastAsia="宋体" w:cs="宋体"/>
          <w:sz w:val="24"/>
        </w:rPr>
        <w:t>32.3供应商应当在法定质疑期内一次性提出针对同一采购程序环节的质疑。供应商如在法定期限内对同一采购程序环节提出多次质疑的，将只对供应商第一次质疑作出答复。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bCs/>
          <w:sz w:val="24"/>
        </w:rPr>
        <w:t>供应商如对采购需求提出质疑，除向采购人递交质疑文件外，同时向磋商组织方递交质疑文件，采购人负责处理和答复涉及采购需求的质疑内容。</w:t>
      </w:r>
    </w:p>
    <w:p w14:paraId="37D28C21">
      <w:pPr>
        <w:spacing w:line="360" w:lineRule="auto"/>
        <w:ind w:firstLine="480" w:firstLineChars="200"/>
        <w:rPr>
          <w:rFonts w:ascii="宋体" w:hAnsi="宋体"/>
          <w:sz w:val="24"/>
        </w:rPr>
      </w:pPr>
      <w:r>
        <w:rPr>
          <w:rFonts w:hint="eastAsia" w:ascii="宋体" w:hAnsi="宋体" w:eastAsia="宋体" w:cs="宋体"/>
          <w:sz w:val="24"/>
        </w:rPr>
        <w:t>32.4</w:t>
      </w:r>
      <w:bookmarkStart w:id="68" w:name="EB5edbbd8b303840bdb3b55af5a67538d7"/>
      <w:r>
        <w:rPr>
          <w:rFonts w:hint="eastAsia" w:ascii="宋体" w:hAnsi="宋体"/>
          <w:sz w:val="24"/>
        </w:rPr>
        <w:t>项目质疑流程及注意事项见“江苏政府采购网”网站首页-办事指南-投诉处理流程</w:t>
      </w:r>
    </w:p>
    <w:p w14:paraId="235694B9">
      <w:pPr>
        <w:spacing w:line="360" w:lineRule="auto"/>
        <w:ind w:firstLine="480" w:firstLineChars="200"/>
        <w:rPr>
          <w:rFonts w:ascii="宋体" w:hAnsi="宋体"/>
          <w:b/>
          <w:sz w:val="24"/>
        </w:rPr>
      </w:pPr>
      <w:r>
        <w:rPr>
          <w:rFonts w:hint="eastAsia" w:ascii="宋体" w:hAnsi="宋体"/>
          <w:sz w:val="24"/>
        </w:rPr>
        <w:t>（http://www.ccgp-jiangsu.gov.cn/jiangsu/tscllc/d1/d1d413a089cf47be917aa230fbf052c4.html）。</w:t>
      </w:r>
      <w:bookmarkEnd w:id="68"/>
    </w:p>
    <w:p w14:paraId="4B9442AA">
      <w:pPr>
        <w:spacing w:line="360" w:lineRule="auto"/>
        <w:ind w:firstLine="480" w:firstLineChars="200"/>
        <w:jc w:val="left"/>
        <w:rPr>
          <w:rFonts w:ascii="宋体" w:hAnsi="宋体" w:eastAsia="宋体" w:cs="宋体"/>
          <w:sz w:val="24"/>
        </w:rPr>
      </w:pPr>
      <w:r>
        <w:rPr>
          <w:rFonts w:hint="eastAsia" w:ascii="宋体" w:hAnsi="宋体" w:eastAsia="宋体" w:cs="宋体"/>
          <w:sz w:val="24"/>
        </w:rPr>
        <w:t>32.5采购人或磋商组织方在收到供应商的书面质疑后将及时组织调查核实，在七个工作日内作出答复，并以书面或在网站公告形式通知质疑供应商和其他有关供应商，答复的内容不涉及商业秘密。</w:t>
      </w:r>
    </w:p>
    <w:p w14:paraId="11CE5C36">
      <w:pPr>
        <w:spacing w:line="360" w:lineRule="auto"/>
        <w:ind w:firstLine="480" w:firstLineChars="200"/>
        <w:jc w:val="left"/>
        <w:rPr>
          <w:rFonts w:ascii="宋体" w:hAnsi="宋体" w:eastAsia="宋体" w:cs="宋体"/>
          <w:sz w:val="24"/>
        </w:rPr>
      </w:pPr>
    </w:p>
    <w:p w14:paraId="34B43F09">
      <w:pPr>
        <w:pStyle w:val="4"/>
        <w:spacing w:line="360" w:lineRule="auto"/>
        <w:rPr>
          <w:rFonts w:ascii="宋体" w:hAnsi="宋体" w:eastAsia="宋体" w:cs="宋体"/>
          <w:sz w:val="24"/>
        </w:rPr>
      </w:pPr>
      <w:bookmarkStart w:id="69" w:name="_Toc211511456"/>
      <w:r>
        <w:rPr>
          <w:rFonts w:hint="eastAsia" w:ascii="宋体" w:hAnsi="宋体" w:eastAsia="宋体" w:cs="宋体"/>
          <w:sz w:val="24"/>
        </w:rPr>
        <w:t>33.投诉</w:t>
      </w:r>
      <w:bookmarkEnd w:id="69"/>
    </w:p>
    <w:p w14:paraId="01E317B0">
      <w:pPr>
        <w:spacing w:line="360" w:lineRule="auto"/>
        <w:ind w:firstLine="480" w:firstLineChars="200"/>
        <w:jc w:val="left"/>
        <w:rPr>
          <w:rFonts w:ascii="宋体" w:hAnsi="宋体" w:eastAsia="宋体" w:cs="宋体"/>
          <w:sz w:val="24"/>
        </w:rPr>
      </w:pPr>
    </w:p>
    <w:p w14:paraId="00105F22">
      <w:pPr>
        <w:spacing w:line="360" w:lineRule="auto"/>
        <w:ind w:firstLine="480" w:firstLineChars="200"/>
        <w:jc w:val="left"/>
        <w:rPr>
          <w:rFonts w:ascii="宋体" w:hAnsi="宋体" w:eastAsia="宋体" w:cs="宋体"/>
          <w:sz w:val="24"/>
        </w:rPr>
      </w:pPr>
      <w:r>
        <w:rPr>
          <w:rFonts w:hint="eastAsia" w:ascii="宋体" w:hAnsi="宋体" w:eastAsia="宋体" w:cs="宋体"/>
          <w:sz w:val="24"/>
        </w:rPr>
        <w:t>质疑供应商对采购人、磋商组织方的答复不满意，或者采购人、磋商组织方未在规定的时间内作出答复的，可以在答复期满后十五个工作日内向采购项目同级财政部门投诉。</w:t>
      </w:r>
    </w:p>
    <w:p w14:paraId="0F1E4491">
      <w:pPr>
        <w:pStyle w:val="3"/>
        <w:spacing w:before="405" w:beforeLines="130" w:after="405" w:afterLines="130" w:line="360" w:lineRule="auto"/>
        <w:jc w:val="center"/>
      </w:pPr>
      <w:bookmarkStart w:id="70" w:name="_Toc211511457"/>
      <w:r>
        <w:rPr>
          <w:rFonts w:hint="eastAsia"/>
        </w:rPr>
        <w:t>八、诚实信用和解释权</w:t>
      </w:r>
      <w:bookmarkEnd w:id="70"/>
    </w:p>
    <w:p w14:paraId="17393568">
      <w:pPr>
        <w:pStyle w:val="4"/>
        <w:spacing w:line="360" w:lineRule="auto"/>
        <w:rPr>
          <w:rFonts w:ascii="宋体" w:hAnsi="宋体" w:eastAsia="宋体" w:cs="宋体"/>
          <w:sz w:val="24"/>
        </w:rPr>
      </w:pPr>
      <w:bookmarkStart w:id="71" w:name="_Toc211511458"/>
      <w:r>
        <w:rPr>
          <w:rFonts w:hint="eastAsia" w:ascii="宋体" w:hAnsi="宋体" w:eastAsia="宋体" w:cs="宋体"/>
          <w:sz w:val="24"/>
        </w:rPr>
        <w:t>34.诚实信用</w:t>
      </w:r>
      <w:bookmarkEnd w:id="71"/>
    </w:p>
    <w:p w14:paraId="08C28B46">
      <w:pPr>
        <w:spacing w:line="360" w:lineRule="auto"/>
        <w:ind w:firstLine="480" w:firstLineChars="200"/>
        <w:jc w:val="left"/>
        <w:rPr>
          <w:rFonts w:ascii="宋体" w:hAnsi="宋体" w:eastAsia="宋体" w:cs="宋体"/>
          <w:sz w:val="24"/>
        </w:rPr>
      </w:pPr>
    </w:p>
    <w:p w14:paraId="2A65A5E7">
      <w:pPr>
        <w:spacing w:line="360" w:lineRule="auto"/>
        <w:ind w:firstLine="480" w:firstLineChars="200"/>
        <w:jc w:val="left"/>
        <w:rPr>
          <w:rFonts w:ascii="宋体" w:hAnsi="宋体" w:eastAsia="宋体" w:cs="宋体"/>
          <w:sz w:val="24"/>
        </w:rPr>
      </w:pPr>
      <w:r>
        <w:rPr>
          <w:rFonts w:hint="eastAsia" w:ascii="宋体" w:hAnsi="宋体" w:eastAsia="宋体" w:cs="宋体"/>
          <w:sz w:val="24"/>
        </w:rPr>
        <w:t>34.1供应商之间不得相互串通磋商报价，不得妨碍其他供应商的公平竞争，不得损害采购人和其他供应商的合法权益。</w:t>
      </w:r>
    </w:p>
    <w:p w14:paraId="189A6A39">
      <w:pPr>
        <w:spacing w:line="360" w:lineRule="auto"/>
        <w:ind w:firstLine="480" w:firstLineChars="200"/>
        <w:jc w:val="left"/>
        <w:rPr>
          <w:rFonts w:ascii="宋体" w:hAnsi="宋体" w:eastAsia="宋体" w:cs="宋体"/>
          <w:sz w:val="24"/>
        </w:rPr>
      </w:pPr>
      <w:r>
        <w:rPr>
          <w:rFonts w:hint="eastAsia" w:ascii="宋体" w:hAnsi="宋体" w:eastAsia="宋体" w:cs="宋体"/>
          <w:sz w:val="24"/>
        </w:rPr>
        <w:t>34.2供应商不得以向磋商组织方工作人员、磋商小组成员行贿或者采取其他不正当手段谋取成交。经查实供应商有此行为的，将在“镇江市公共资源交易服务平台-政府采购”网站公告，政府采购管理部门将供应商列入不良行为记录名单，按照政府采购有关规定处理。</w:t>
      </w:r>
    </w:p>
    <w:p w14:paraId="76E9B9A0">
      <w:pPr>
        <w:spacing w:line="360" w:lineRule="auto"/>
        <w:ind w:firstLine="480" w:firstLineChars="200"/>
        <w:jc w:val="left"/>
        <w:rPr>
          <w:rFonts w:ascii="宋体" w:hAnsi="宋体" w:eastAsia="宋体" w:cs="宋体"/>
          <w:sz w:val="24"/>
        </w:rPr>
      </w:pPr>
      <w:r>
        <w:rPr>
          <w:rFonts w:hint="eastAsia" w:ascii="宋体" w:hAnsi="宋体" w:eastAsia="宋体" w:cs="宋体"/>
          <w:sz w:val="24"/>
        </w:rPr>
        <w:t>34.3供应商不得虚假承诺，否则，按照提供虚假材料谋取中标/成交处理。</w:t>
      </w:r>
    </w:p>
    <w:p w14:paraId="7F83180F">
      <w:pPr>
        <w:spacing w:line="360" w:lineRule="auto"/>
        <w:ind w:firstLine="480" w:firstLineChars="200"/>
        <w:jc w:val="left"/>
        <w:rPr>
          <w:rFonts w:ascii="宋体" w:hAnsi="宋体" w:eastAsia="宋体" w:cs="宋体"/>
          <w:sz w:val="24"/>
        </w:rPr>
      </w:pPr>
      <w:r>
        <w:rPr>
          <w:rFonts w:hint="eastAsia" w:ascii="宋体" w:hAnsi="宋体" w:eastAsia="宋体" w:cs="宋体"/>
          <w:sz w:val="24"/>
        </w:rPr>
        <w:t>34.4供应商应自觉遵守磋商纪律，扰乱磋商现场秩序的，属于失信行为，根据《江苏省政府采购供应商监督管理暂行办法》,失信行为将被记入供应商诚信档案。</w:t>
      </w:r>
    </w:p>
    <w:p w14:paraId="633EF374">
      <w:pPr>
        <w:spacing w:line="360" w:lineRule="auto"/>
        <w:ind w:firstLine="480" w:firstLineChars="200"/>
        <w:jc w:val="left"/>
        <w:rPr>
          <w:rFonts w:ascii="宋体" w:hAnsi="宋体" w:eastAsia="宋体" w:cs="宋体"/>
          <w:sz w:val="24"/>
        </w:rPr>
      </w:pPr>
      <w:r>
        <w:rPr>
          <w:rFonts w:hint="eastAsia" w:ascii="宋体" w:hAnsi="宋体" w:eastAsia="宋体" w:cs="宋体"/>
          <w:sz w:val="24"/>
        </w:rPr>
        <w:t>34.5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中国政府采购网(www.ccgp.gov.cn)、“信用江苏”网站(http://credit.jiangsu.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010E9AA9">
      <w:pPr>
        <w:spacing w:line="360" w:lineRule="auto"/>
        <w:ind w:firstLine="480" w:firstLineChars="200"/>
        <w:jc w:val="left"/>
        <w:rPr>
          <w:rFonts w:ascii="宋体" w:hAnsi="宋体" w:eastAsia="宋体" w:cs="宋体"/>
          <w:sz w:val="24"/>
        </w:rPr>
      </w:pPr>
    </w:p>
    <w:p w14:paraId="284FFFFD">
      <w:pPr>
        <w:pStyle w:val="4"/>
        <w:spacing w:line="360" w:lineRule="auto"/>
        <w:rPr>
          <w:rFonts w:ascii="宋体" w:hAnsi="宋体" w:eastAsia="宋体" w:cs="宋体"/>
          <w:sz w:val="24"/>
        </w:rPr>
      </w:pPr>
      <w:bookmarkStart w:id="72" w:name="_Toc211511459"/>
      <w:r>
        <w:rPr>
          <w:rFonts w:hint="eastAsia" w:ascii="宋体" w:hAnsi="宋体" w:eastAsia="宋体" w:cs="宋体"/>
          <w:sz w:val="24"/>
        </w:rPr>
        <w:t>35.解释权</w:t>
      </w:r>
      <w:bookmarkEnd w:id="72"/>
    </w:p>
    <w:p w14:paraId="201C6867">
      <w:pPr>
        <w:spacing w:line="360" w:lineRule="auto"/>
        <w:ind w:firstLine="480" w:firstLineChars="200"/>
        <w:jc w:val="left"/>
        <w:rPr>
          <w:rFonts w:ascii="宋体" w:hAnsi="宋体" w:eastAsia="宋体" w:cs="宋体"/>
          <w:sz w:val="24"/>
        </w:rPr>
      </w:pPr>
    </w:p>
    <w:p w14:paraId="7CDDEE13">
      <w:pPr>
        <w:spacing w:line="360" w:lineRule="auto"/>
        <w:ind w:firstLine="480" w:firstLineChars="200"/>
        <w:jc w:val="left"/>
        <w:rPr>
          <w:rFonts w:ascii="宋体" w:hAnsi="宋体" w:eastAsia="宋体" w:cs="宋体"/>
          <w:sz w:val="24"/>
        </w:rPr>
      </w:pPr>
      <w:r>
        <w:rPr>
          <w:rFonts w:hint="eastAsia" w:ascii="宋体" w:hAnsi="宋体" w:eastAsia="宋体" w:cs="宋体"/>
          <w:sz w:val="24"/>
        </w:rPr>
        <w:t>35.1除相关法律、法规规定外，本磋商文件的解释权归</w:t>
      </w:r>
      <w:r>
        <w:rPr>
          <w:rFonts w:hint="eastAsia" w:ascii="宋体" w:hAnsi="宋体" w:eastAsia="宋体" w:cs="宋体"/>
          <w:sz w:val="24"/>
          <w:lang w:eastAsia="zh-CN"/>
        </w:rPr>
        <w:t>江苏顺天工程项目管理咨询有限公司</w:t>
      </w:r>
      <w:r>
        <w:rPr>
          <w:rFonts w:hint="eastAsia" w:ascii="宋体" w:hAnsi="宋体" w:eastAsia="宋体" w:cs="宋体"/>
          <w:sz w:val="24"/>
        </w:rPr>
        <w:t>所有。</w:t>
      </w:r>
    </w:p>
    <w:p w14:paraId="69034F5D">
      <w:pPr>
        <w:spacing w:line="360" w:lineRule="auto"/>
        <w:ind w:firstLine="480" w:firstLineChars="200"/>
        <w:jc w:val="left"/>
        <w:rPr>
          <w:rFonts w:ascii="宋体" w:hAnsi="宋体" w:eastAsia="宋体" w:cs="宋体"/>
          <w:sz w:val="24"/>
        </w:rPr>
      </w:pPr>
    </w:p>
    <w:p w14:paraId="3F08A024">
      <w:pPr>
        <w:pStyle w:val="4"/>
        <w:spacing w:line="360" w:lineRule="auto"/>
        <w:rPr>
          <w:rFonts w:ascii="宋体" w:hAnsi="宋体" w:eastAsia="宋体" w:cs="宋体"/>
          <w:sz w:val="24"/>
        </w:rPr>
      </w:pPr>
      <w:bookmarkStart w:id="73" w:name="_Toc211511460"/>
      <w:r>
        <w:rPr>
          <w:rFonts w:hint="eastAsia" w:ascii="宋体" w:hAnsi="宋体" w:eastAsia="宋体" w:cs="宋体"/>
          <w:sz w:val="24"/>
        </w:rPr>
        <w:t>36.适用法律及约束力</w:t>
      </w:r>
      <w:bookmarkEnd w:id="73"/>
    </w:p>
    <w:p w14:paraId="48F45A7F">
      <w:pPr>
        <w:spacing w:line="360" w:lineRule="auto"/>
        <w:ind w:firstLine="480" w:firstLineChars="200"/>
        <w:jc w:val="left"/>
        <w:rPr>
          <w:rFonts w:ascii="宋体" w:hAnsi="宋体" w:eastAsia="宋体" w:cs="宋体"/>
          <w:sz w:val="24"/>
        </w:rPr>
      </w:pPr>
    </w:p>
    <w:p w14:paraId="614096AC">
      <w:pPr>
        <w:spacing w:line="360" w:lineRule="auto"/>
        <w:ind w:firstLine="480" w:firstLineChars="200"/>
        <w:jc w:val="left"/>
        <w:rPr>
          <w:rFonts w:ascii="宋体" w:hAnsi="宋体" w:eastAsia="宋体" w:cs="宋体"/>
          <w:sz w:val="24"/>
        </w:rPr>
      </w:pPr>
      <w:r>
        <w:rPr>
          <w:rFonts w:hint="eastAsia" w:ascii="宋体" w:hAnsi="宋体" w:eastAsia="宋体" w:cs="宋体"/>
          <w:sz w:val="24"/>
        </w:rPr>
        <w:t>36.1供应商一旦获取了本磋商文件并参加磋商，即被认为接受了本磋商文件的规定和约束。</w:t>
      </w:r>
    </w:p>
    <w:p w14:paraId="05E12AD7">
      <w:pPr>
        <w:spacing w:line="360" w:lineRule="auto"/>
        <w:ind w:firstLine="480" w:firstLineChars="200"/>
        <w:jc w:val="left"/>
        <w:rPr>
          <w:rFonts w:ascii="宋体" w:hAnsi="宋体" w:eastAsia="宋体" w:cs="宋体"/>
          <w:sz w:val="24"/>
        </w:rPr>
      </w:pPr>
      <w:r>
        <w:rPr>
          <w:rFonts w:hint="eastAsia" w:ascii="宋体" w:hAnsi="宋体" w:eastAsia="宋体" w:cs="宋体"/>
          <w:sz w:val="24"/>
        </w:rPr>
        <w:t>36.2本次采购及由本次采购产生的合同受中华人民共和国法律制约和保护。</w:t>
      </w:r>
    </w:p>
    <w:p w14:paraId="2A35323A">
      <w:pPr>
        <w:spacing w:line="360" w:lineRule="auto"/>
        <w:ind w:firstLine="480" w:firstLineChars="200"/>
        <w:jc w:val="left"/>
        <w:rPr>
          <w:rFonts w:ascii="宋体" w:hAnsi="宋体" w:eastAsia="宋体" w:cs="宋体"/>
          <w:sz w:val="24"/>
        </w:rPr>
        <w:sectPr>
          <w:headerReference r:id="rId3" w:type="default"/>
          <w:footerReference r:id="rId4" w:type="default"/>
          <w:pgSz w:w="11906" w:h="16838"/>
          <w:pgMar w:top="1440" w:right="1242" w:bottom="1440" w:left="1242" w:header="851" w:footer="992" w:gutter="0"/>
          <w:cols w:space="425" w:num="1"/>
          <w:docGrid w:type="lines" w:linePitch="312" w:charSpace="0"/>
        </w:sectPr>
      </w:pPr>
    </w:p>
    <w:p w14:paraId="55D4B6C8">
      <w:pPr>
        <w:widowControl/>
        <w:spacing w:line="360" w:lineRule="auto"/>
        <w:jc w:val="center"/>
        <w:rPr>
          <w:rFonts w:ascii="楷体" w:hAnsi="楷体" w:eastAsia="楷体"/>
          <w:b/>
          <w:sz w:val="30"/>
        </w:rPr>
      </w:pPr>
      <w:r>
        <w:rPr>
          <w:rFonts w:hint="eastAsia"/>
        </w:rPr>
        <w:t xml:space="preserve">第三部分    </w:t>
      </w:r>
      <w:r>
        <w:rPr>
          <w:rFonts w:hint="eastAsia" w:ascii="楷体" w:hAnsi="楷体" w:eastAsia="楷体"/>
          <w:b/>
          <w:sz w:val="30"/>
        </w:rPr>
        <w:t>拟签订的合同文本</w:t>
      </w:r>
    </w:p>
    <w:p w14:paraId="222913C2">
      <w:pPr>
        <w:spacing w:line="420" w:lineRule="exact"/>
        <w:rPr>
          <w:rFonts w:cs="宋体" w:asciiTheme="minorEastAsia" w:hAnsiTheme="minorEastAsia"/>
          <w:b/>
          <w:bCs/>
          <w:sz w:val="24"/>
        </w:rPr>
      </w:pPr>
      <w:r>
        <w:rPr>
          <w:rFonts w:hint="eastAsia" w:cs="宋体" w:asciiTheme="minorEastAsia" w:hAnsiTheme="minorEastAsia"/>
          <w:b/>
          <w:sz w:val="24"/>
        </w:rPr>
        <w:t>（ＧＦ－2012－0202）</w:t>
      </w:r>
    </w:p>
    <w:p w14:paraId="1CE7AF81">
      <w:pPr>
        <w:spacing w:line="420" w:lineRule="exact"/>
        <w:jc w:val="center"/>
        <w:rPr>
          <w:rFonts w:cs="宋体" w:asciiTheme="minorEastAsia" w:hAnsiTheme="minorEastAsia"/>
          <w:b/>
          <w:bCs/>
          <w:sz w:val="24"/>
        </w:rPr>
      </w:pPr>
    </w:p>
    <w:p w14:paraId="7F4499E9">
      <w:pPr>
        <w:spacing w:line="420" w:lineRule="exact"/>
        <w:jc w:val="center"/>
        <w:rPr>
          <w:rFonts w:cs="宋体" w:asciiTheme="minorEastAsia" w:hAnsiTheme="minorEastAsia"/>
          <w:b/>
          <w:bCs/>
          <w:sz w:val="24"/>
        </w:rPr>
      </w:pPr>
    </w:p>
    <w:p w14:paraId="05D18CBD">
      <w:pPr>
        <w:spacing w:line="420" w:lineRule="exact"/>
        <w:jc w:val="center"/>
        <w:rPr>
          <w:rFonts w:cs="宋体" w:asciiTheme="minorEastAsia" w:hAnsiTheme="minorEastAsia"/>
          <w:b/>
          <w:bCs/>
          <w:sz w:val="24"/>
        </w:rPr>
      </w:pPr>
    </w:p>
    <w:p w14:paraId="5310E355">
      <w:pPr>
        <w:spacing w:line="480" w:lineRule="auto"/>
        <w:jc w:val="center"/>
        <w:rPr>
          <w:rFonts w:cs="宋体" w:asciiTheme="minorEastAsia" w:hAnsiTheme="minorEastAsia"/>
          <w:b/>
          <w:bCs/>
          <w:sz w:val="24"/>
        </w:rPr>
      </w:pPr>
    </w:p>
    <w:p w14:paraId="49EE2851">
      <w:pPr>
        <w:spacing w:line="480" w:lineRule="auto"/>
        <w:jc w:val="center"/>
        <w:rPr>
          <w:rFonts w:cs="宋体" w:asciiTheme="minorEastAsia" w:hAnsiTheme="minorEastAsia"/>
          <w:b/>
          <w:bCs/>
          <w:sz w:val="24"/>
        </w:rPr>
      </w:pPr>
      <w:r>
        <w:rPr>
          <w:rFonts w:hint="eastAsia" w:cs="宋体" w:asciiTheme="minorEastAsia" w:hAnsiTheme="minorEastAsia"/>
          <w:b/>
          <w:bCs/>
          <w:sz w:val="24"/>
        </w:rPr>
        <w:t>建设工程监理合同</w:t>
      </w:r>
    </w:p>
    <w:p w14:paraId="508D8F9B">
      <w:pPr>
        <w:spacing w:line="420" w:lineRule="exact"/>
        <w:jc w:val="center"/>
        <w:rPr>
          <w:rFonts w:cs="宋体" w:asciiTheme="minorEastAsia" w:hAnsiTheme="minorEastAsia"/>
          <w:b/>
          <w:bCs/>
          <w:sz w:val="24"/>
        </w:rPr>
      </w:pPr>
    </w:p>
    <w:p w14:paraId="4406782D">
      <w:pPr>
        <w:spacing w:line="420" w:lineRule="exact"/>
        <w:jc w:val="center"/>
        <w:rPr>
          <w:rFonts w:hint="eastAsia" w:cs="宋体" w:asciiTheme="minorEastAsia" w:hAnsiTheme="minorEastAsia" w:eastAsiaTheme="minorEastAsia"/>
          <w:b/>
          <w:bCs/>
          <w:sz w:val="24"/>
          <w:lang w:eastAsia="zh-CN"/>
        </w:rPr>
      </w:pPr>
      <w:r>
        <w:rPr>
          <w:rFonts w:hint="eastAsia" w:cs="宋体" w:asciiTheme="minorEastAsia" w:hAnsiTheme="minorEastAsia"/>
          <w:b/>
          <w:bCs/>
          <w:sz w:val="24"/>
          <w:u w:val="single"/>
          <w:lang w:eastAsia="zh-CN"/>
        </w:rPr>
        <w:t>丹徒区站岗沟行洪通道建设项目工程监理项目</w:t>
      </w:r>
    </w:p>
    <w:p w14:paraId="473D31E9">
      <w:pPr>
        <w:spacing w:line="420" w:lineRule="exact"/>
        <w:jc w:val="center"/>
        <w:rPr>
          <w:rFonts w:cs="宋体" w:asciiTheme="minorEastAsia" w:hAnsiTheme="minorEastAsia"/>
          <w:b/>
          <w:bCs/>
          <w:sz w:val="24"/>
        </w:rPr>
      </w:pPr>
    </w:p>
    <w:p w14:paraId="11B09023">
      <w:pPr>
        <w:spacing w:line="420" w:lineRule="exact"/>
        <w:jc w:val="center"/>
        <w:rPr>
          <w:rFonts w:cs="宋体" w:asciiTheme="minorEastAsia" w:hAnsiTheme="minorEastAsia"/>
          <w:b/>
          <w:bCs/>
          <w:sz w:val="24"/>
        </w:rPr>
      </w:pPr>
    </w:p>
    <w:p w14:paraId="3D96560C">
      <w:pPr>
        <w:spacing w:line="420" w:lineRule="exact"/>
        <w:jc w:val="center"/>
        <w:rPr>
          <w:rFonts w:cs="宋体" w:asciiTheme="minorEastAsia" w:hAnsiTheme="minorEastAsia"/>
          <w:b/>
          <w:bCs/>
          <w:sz w:val="24"/>
        </w:rPr>
      </w:pPr>
    </w:p>
    <w:p w14:paraId="4B6FE133">
      <w:pPr>
        <w:spacing w:line="420" w:lineRule="exact"/>
        <w:jc w:val="center"/>
        <w:rPr>
          <w:rFonts w:cs="宋体" w:asciiTheme="minorEastAsia" w:hAnsiTheme="minorEastAsia"/>
          <w:b/>
          <w:bCs/>
          <w:sz w:val="24"/>
        </w:rPr>
      </w:pPr>
    </w:p>
    <w:p w14:paraId="1E1F4F60">
      <w:pPr>
        <w:spacing w:line="420" w:lineRule="exact"/>
        <w:jc w:val="center"/>
        <w:rPr>
          <w:rFonts w:cs="宋体" w:asciiTheme="minorEastAsia" w:hAnsiTheme="minorEastAsia"/>
          <w:b/>
          <w:bCs/>
          <w:sz w:val="24"/>
        </w:rPr>
      </w:pPr>
    </w:p>
    <w:p w14:paraId="3234D44B">
      <w:pPr>
        <w:spacing w:line="420" w:lineRule="exact"/>
        <w:rPr>
          <w:rFonts w:cs="宋体" w:asciiTheme="minorEastAsia" w:hAnsiTheme="minorEastAsia"/>
          <w:b/>
          <w:bCs/>
          <w:sz w:val="24"/>
        </w:rPr>
      </w:pPr>
    </w:p>
    <w:p w14:paraId="2FC1007D">
      <w:pPr>
        <w:spacing w:line="420" w:lineRule="exact"/>
        <w:rPr>
          <w:rFonts w:cs="宋体" w:asciiTheme="minorEastAsia" w:hAnsiTheme="minorEastAsia"/>
          <w:b/>
          <w:bCs/>
          <w:sz w:val="24"/>
        </w:rPr>
      </w:pPr>
    </w:p>
    <w:p w14:paraId="1A3C7A94">
      <w:pPr>
        <w:spacing w:line="420" w:lineRule="exact"/>
        <w:rPr>
          <w:rFonts w:cs="宋体" w:asciiTheme="minorEastAsia" w:hAnsiTheme="minorEastAsia"/>
          <w:b/>
          <w:bCs/>
          <w:sz w:val="24"/>
        </w:rPr>
      </w:pPr>
    </w:p>
    <w:p w14:paraId="1D3737F7">
      <w:pPr>
        <w:spacing w:line="420" w:lineRule="exact"/>
        <w:ind w:firstLine="2385" w:firstLineChars="990"/>
        <w:rPr>
          <w:rFonts w:cs="宋体" w:asciiTheme="minorEastAsia" w:hAnsiTheme="minorEastAsia"/>
          <w:b/>
          <w:bCs/>
          <w:sz w:val="24"/>
        </w:rPr>
      </w:pPr>
    </w:p>
    <w:p w14:paraId="6A6ABB0C">
      <w:pPr>
        <w:spacing w:line="420" w:lineRule="exact"/>
        <w:ind w:firstLine="2385" w:firstLineChars="990"/>
        <w:rPr>
          <w:rFonts w:cs="宋体" w:asciiTheme="minorEastAsia" w:hAnsiTheme="minorEastAsia"/>
          <w:b/>
          <w:bCs/>
          <w:sz w:val="24"/>
        </w:rPr>
      </w:pPr>
    </w:p>
    <w:p w14:paraId="1B969DAB">
      <w:pPr>
        <w:spacing w:line="420" w:lineRule="exact"/>
        <w:ind w:firstLine="2385" w:firstLineChars="990"/>
        <w:rPr>
          <w:rFonts w:cs="宋体" w:asciiTheme="minorEastAsia" w:hAnsiTheme="minorEastAsia"/>
          <w:b/>
          <w:bCs/>
          <w:sz w:val="24"/>
        </w:rPr>
      </w:pPr>
    </w:p>
    <w:p w14:paraId="7C2B6895">
      <w:pPr>
        <w:spacing w:line="420" w:lineRule="exact"/>
        <w:ind w:firstLine="2385" w:firstLineChars="990"/>
        <w:rPr>
          <w:rFonts w:cs="宋体" w:asciiTheme="minorEastAsia" w:hAnsiTheme="minorEastAsia"/>
          <w:b/>
          <w:bCs/>
          <w:sz w:val="24"/>
        </w:rPr>
      </w:pPr>
    </w:p>
    <w:p w14:paraId="28581690">
      <w:pPr>
        <w:spacing w:line="420" w:lineRule="exact"/>
        <w:ind w:firstLine="2385" w:firstLineChars="990"/>
        <w:rPr>
          <w:rFonts w:cs="宋体" w:asciiTheme="minorEastAsia" w:hAnsiTheme="minorEastAsia"/>
          <w:b/>
          <w:bCs/>
          <w:sz w:val="24"/>
        </w:rPr>
      </w:pPr>
    </w:p>
    <w:p w14:paraId="566664A8">
      <w:pPr>
        <w:spacing w:line="420" w:lineRule="exact"/>
        <w:ind w:firstLine="2385" w:firstLineChars="990"/>
        <w:rPr>
          <w:rFonts w:cs="宋体" w:asciiTheme="minorEastAsia" w:hAnsiTheme="minorEastAsia"/>
          <w:b/>
          <w:bCs/>
          <w:sz w:val="24"/>
        </w:rPr>
      </w:pPr>
    </w:p>
    <w:p w14:paraId="313072C6">
      <w:pPr>
        <w:spacing w:line="420" w:lineRule="exact"/>
        <w:ind w:firstLine="2385" w:firstLineChars="990"/>
        <w:rPr>
          <w:rFonts w:cs="宋体" w:asciiTheme="minorEastAsia" w:hAnsiTheme="minorEastAsia"/>
          <w:b/>
          <w:bCs/>
          <w:sz w:val="24"/>
        </w:rPr>
      </w:pPr>
    </w:p>
    <w:p w14:paraId="2AAFE56E">
      <w:pPr>
        <w:spacing w:line="420" w:lineRule="exact"/>
        <w:ind w:firstLine="2385" w:firstLineChars="990"/>
        <w:rPr>
          <w:rFonts w:cs="宋体" w:asciiTheme="minorEastAsia" w:hAnsiTheme="minorEastAsia"/>
          <w:b/>
          <w:bCs/>
          <w:sz w:val="24"/>
        </w:rPr>
      </w:pPr>
    </w:p>
    <w:p w14:paraId="39017C16">
      <w:pPr>
        <w:spacing w:line="420" w:lineRule="exact"/>
        <w:jc w:val="center"/>
        <w:rPr>
          <w:rFonts w:cs="宋体" w:asciiTheme="minorEastAsia" w:hAnsiTheme="minorEastAsia"/>
          <w:b/>
          <w:sz w:val="24"/>
        </w:rPr>
      </w:pPr>
      <w:r>
        <w:rPr>
          <w:rFonts w:hint="eastAsia" w:cs="宋体" w:asciiTheme="minorEastAsia" w:hAnsiTheme="minorEastAsia"/>
          <w:b/>
          <w:bCs/>
          <w:sz w:val="24"/>
        </w:rPr>
        <w:t>住房和城乡建设部</w:t>
      </w:r>
    </w:p>
    <w:p w14:paraId="09022AA4">
      <w:pPr>
        <w:spacing w:line="420" w:lineRule="exact"/>
        <w:jc w:val="center"/>
        <w:rPr>
          <w:rFonts w:cs="宋体" w:asciiTheme="minorEastAsia" w:hAnsiTheme="minorEastAsia"/>
          <w:b/>
          <w:sz w:val="24"/>
        </w:rPr>
      </w:pPr>
      <w:r>
        <w:rPr>
          <w:rFonts w:hint="eastAsia" w:cs="宋体" w:asciiTheme="minorEastAsia" w:hAnsiTheme="minorEastAsia"/>
          <w:b/>
          <w:sz w:val="24"/>
        </w:rPr>
        <w:t xml:space="preserve">                          制定</w:t>
      </w:r>
    </w:p>
    <w:p w14:paraId="332A9678">
      <w:pPr>
        <w:spacing w:line="420" w:lineRule="exact"/>
        <w:jc w:val="center"/>
        <w:rPr>
          <w:rFonts w:cs="宋体" w:asciiTheme="minorEastAsia" w:hAnsiTheme="minorEastAsia"/>
          <w:b/>
          <w:sz w:val="24"/>
        </w:rPr>
      </w:pPr>
      <w:r>
        <w:rPr>
          <w:rFonts w:hint="eastAsia" w:cs="宋体" w:asciiTheme="minorEastAsia" w:hAnsiTheme="minorEastAsia"/>
          <w:b/>
          <w:bCs/>
          <w:sz w:val="24"/>
        </w:rPr>
        <w:t>国家工商行政管理总局</w:t>
      </w:r>
    </w:p>
    <w:p w14:paraId="03DB389D">
      <w:pPr>
        <w:rPr>
          <w:rFonts w:cs="宋体" w:asciiTheme="minorEastAsia" w:hAnsiTheme="minorEastAsia"/>
          <w:sz w:val="24"/>
        </w:rPr>
      </w:pPr>
    </w:p>
    <w:p w14:paraId="0C17894C">
      <w:pPr>
        <w:tabs>
          <w:tab w:val="left" w:pos="3120"/>
        </w:tabs>
        <w:spacing w:line="420" w:lineRule="exact"/>
        <w:ind w:firstLine="2409" w:firstLineChars="1000"/>
        <w:jc w:val="left"/>
        <w:rPr>
          <w:rFonts w:cs="宋体" w:asciiTheme="minorEastAsia" w:hAnsiTheme="minorEastAsia"/>
          <w:b/>
          <w:bCs/>
          <w:sz w:val="24"/>
        </w:rPr>
        <w:sectPr>
          <w:headerReference r:id="rId5" w:type="default"/>
          <w:footerReference r:id="rId6" w:type="default"/>
          <w:footerReference r:id="rId7" w:type="even"/>
          <w:pgSz w:w="11906" w:h="16838"/>
          <w:pgMar w:top="1440" w:right="1797" w:bottom="1440" w:left="1797" w:header="851" w:footer="992" w:gutter="0"/>
          <w:cols w:space="720" w:num="1"/>
          <w:titlePg/>
          <w:docGrid w:type="lines" w:linePitch="312" w:charSpace="0"/>
        </w:sectPr>
      </w:pPr>
    </w:p>
    <w:p w14:paraId="7DFAED2A">
      <w:pPr>
        <w:tabs>
          <w:tab w:val="left" w:pos="3120"/>
        </w:tabs>
        <w:spacing w:line="540" w:lineRule="exact"/>
        <w:jc w:val="center"/>
        <w:rPr>
          <w:rFonts w:cs="宋体" w:asciiTheme="minorEastAsia" w:hAnsiTheme="minorEastAsia"/>
          <w:b/>
          <w:bCs/>
          <w:sz w:val="24"/>
        </w:rPr>
      </w:pPr>
      <w:bookmarkStart w:id="74" w:name="_Hlk211327831"/>
      <w:r>
        <w:rPr>
          <w:rFonts w:hint="eastAsia" w:cs="宋体" w:asciiTheme="minorEastAsia" w:hAnsiTheme="minorEastAsia"/>
          <w:b/>
          <w:bCs/>
          <w:sz w:val="24"/>
        </w:rPr>
        <w:t>第一部分  协议书</w:t>
      </w:r>
    </w:p>
    <w:p w14:paraId="6413C5E3">
      <w:pPr>
        <w:spacing w:line="560" w:lineRule="exact"/>
        <w:jc w:val="left"/>
        <w:outlineLvl w:val="0"/>
        <w:rPr>
          <w:rFonts w:cs="宋体" w:asciiTheme="minorEastAsia" w:hAnsiTheme="minorEastAsia"/>
          <w:b/>
          <w:sz w:val="24"/>
          <w:u w:val="single"/>
        </w:rPr>
      </w:pPr>
      <w:bookmarkStart w:id="75" w:name="_Toc211511461"/>
      <w:r>
        <w:rPr>
          <w:rFonts w:hint="eastAsia" w:cs="宋体" w:asciiTheme="minorEastAsia" w:hAnsiTheme="minorEastAsia"/>
          <w:b/>
          <w:sz w:val="24"/>
        </w:rPr>
        <w:t>委托人（甲方）：</w:t>
      </w:r>
      <w:r>
        <w:rPr>
          <w:rFonts w:hint="eastAsia" w:cs="宋体" w:asciiTheme="minorEastAsia" w:hAnsiTheme="minorEastAsia"/>
          <w:b/>
          <w:sz w:val="24"/>
          <w:u w:val="single"/>
        </w:rPr>
        <w:t>镇江市丹徒区住房和城乡建设局</w:t>
      </w:r>
      <w:bookmarkEnd w:id="75"/>
      <w:r>
        <w:rPr>
          <w:rFonts w:hint="eastAsia" w:cs="宋体" w:asciiTheme="minorEastAsia" w:hAnsiTheme="minorEastAsia"/>
          <w:b/>
          <w:sz w:val="24"/>
          <w:u w:val="single"/>
        </w:rPr>
        <w:t xml:space="preserve">    </w:t>
      </w:r>
    </w:p>
    <w:p w14:paraId="4D67E75E">
      <w:pPr>
        <w:spacing w:line="560" w:lineRule="exact"/>
        <w:jc w:val="left"/>
        <w:outlineLvl w:val="0"/>
        <w:rPr>
          <w:rFonts w:cs="宋体" w:asciiTheme="minorEastAsia" w:hAnsiTheme="minorEastAsia"/>
          <w:b/>
          <w:sz w:val="24"/>
          <w:u w:val="single"/>
        </w:rPr>
      </w:pPr>
      <w:bookmarkStart w:id="76" w:name="_Toc211511462"/>
      <w:r>
        <w:rPr>
          <w:rFonts w:hint="eastAsia" w:cs="宋体" w:asciiTheme="minorEastAsia" w:hAnsiTheme="minorEastAsia"/>
          <w:b/>
          <w:sz w:val="24"/>
        </w:rPr>
        <w:t>监理人（乙方）：</w:t>
      </w:r>
      <w:bookmarkEnd w:id="76"/>
      <w:r>
        <w:rPr>
          <w:rFonts w:hint="eastAsia" w:cs="宋体" w:asciiTheme="minorEastAsia" w:hAnsiTheme="minorEastAsia"/>
          <w:b/>
          <w:sz w:val="24"/>
          <w:u w:val="single"/>
        </w:rPr>
        <w:t xml:space="preserve">                                </w:t>
      </w:r>
    </w:p>
    <w:p w14:paraId="2623E601">
      <w:pPr>
        <w:adjustRightInd w:val="0"/>
        <w:snapToGrid w:val="0"/>
        <w:spacing w:line="560" w:lineRule="exact"/>
        <w:ind w:firstLine="480" w:firstLineChars="200"/>
        <w:rPr>
          <w:rFonts w:cs="宋体" w:asciiTheme="minorEastAsia" w:hAnsiTheme="minorEastAsia"/>
          <w:sz w:val="24"/>
          <w:u w:val="single"/>
        </w:rPr>
      </w:pPr>
      <w:r>
        <w:rPr>
          <w:rFonts w:hint="eastAsia" w:cs="宋体" w:asciiTheme="minorEastAsia" w:hAnsiTheme="minorEastAsia"/>
          <w:sz w:val="24"/>
        </w:rPr>
        <w:t>根据《中华人民共和国民法典》、《中华人民共和国建筑法》及其他有关法律、法规，遵循平等、自愿、公平和诚信的原则，双方就下述工程委托监理与相关服务事项协商一致，订立本合同。</w:t>
      </w:r>
    </w:p>
    <w:p w14:paraId="4A3B7A92">
      <w:pPr>
        <w:spacing w:line="560" w:lineRule="exact"/>
        <w:ind w:firstLine="477" w:firstLineChars="198"/>
        <w:outlineLvl w:val="0"/>
        <w:rPr>
          <w:rFonts w:cs="宋体" w:asciiTheme="minorEastAsia" w:hAnsiTheme="minorEastAsia"/>
          <w:b/>
          <w:sz w:val="24"/>
        </w:rPr>
      </w:pPr>
      <w:bookmarkStart w:id="77" w:name="_Toc211511463"/>
      <w:r>
        <w:rPr>
          <w:rFonts w:hint="eastAsia" w:cs="宋体" w:asciiTheme="minorEastAsia" w:hAnsiTheme="minorEastAsia"/>
          <w:b/>
          <w:sz w:val="24"/>
        </w:rPr>
        <w:t>一、工程概况</w:t>
      </w:r>
      <w:bookmarkEnd w:id="77"/>
    </w:p>
    <w:p w14:paraId="66DA1472">
      <w:pPr>
        <w:widowControl/>
        <w:spacing w:line="560" w:lineRule="exact"/>
        <w:ind w:firstLine="475" w:firstLineChars="198"/>
        <w:jc w:val="left"/>
        <w:rPr>
          <w:rFonts w:cs="宋体" w:asciiTheme="minorEastAsia" w:hAnsiTheme="minorEastAsia"/>
          <w:b/>
          <w:bCs/>
          <w:sz w:val="24"/>
          <w:u w:val="single"/>
        </w:rPr>
      </w:pPr>
      <w:r>
        <w:rPr>
          <w:rFonts w:hint="eastAsia" w:cs="宋体" w:asciiTheme="minorEastAsia" w:hAnsiTheme="minorEastAsia"/>
          <w:sz w:val="24"/>
        </w:rPr>
        <w:t>1. 工程名称：</w:t>
      </w:r>
      <w:r>
        <w:rPr>
          <w:rFonts w:hint="eastAsia" w:cs="宋体" w:asciiTheme="minorEastAsia" w:hAnsiTheme="minorEastAsia"/>
          <w:b/>
          <w:bCs/>
          <w:sz w:val="24"/>
          <w:u w:val="single"/>
          <w:lang w:eastAsia="zh-CN"/>
        </w:rPr>
        <w:t>丹徒区站岗沟行洪通道建设项目工程监理项目</w:t>
      </w:r>
      <w:r>
        <w:rPr>
          <w:rFonts w:hint="eastAsia" w:cs="宋体" w:asciiTheme="minorEastAsia" w:hAnsiTheme="minorEastAsia"/>
          <w:b/>
          <w:bCs/>
          <w:sz w:val="24"/>
          <w:u w:val="single"/>
        </w:rPr>
        <w:t>；</w:t>
      </w:r>
    </w:p>
    <w:p w14:paraId="574F3859">
      <w:pPr>
        <w:widowControl/>
        <w:spacing w:line="560" w:lineRule="exact"/>
        <w:ind w:firstLine="475" w:firstLineChars="198"/>
        <w:jc w:val="left"/>
        <w:rPr>
          <w:rFonts w:cs="宋体" w:asciiTheme="minorEastAsia" w:hAnsiTheme="minorEastAsia"/>
          <w:sz w:val="24"/>
        </w:rPr>
      </w:pPr>
      <w:r>
        <w:rPr>
          <w:rFonts w:hint="eastAsia" w:cs="宋体" w:asciiTheme="minorEastAsia" w:hAnsiTheme="minorEastAsia"/>
          <w:sz w:val="24"/>
        </w:rPr>
        <w:t>2. 工程地点：</w:t>
      </w:r>
      <w:r>
        <w:rPr>
          <w:rFonts w:hint="eastAsia" w:cs="宋体" w:asciiTheme="minorEastAsia" w:hAnsiTheme="minorEastAsia"/>
          <w:b/>
          <w:bCs/>
          <w:sz w:val="24"/>
          <w:u w:val="single"/>
        </w:rPr>
        <w:t>位于镇江市丹徒区宜城街道</w:t>
      </w:r>
      <w:r>
        <w:rPr>
          <w:rFonts w:hint="eastAsia" w:cs="宋体" w:asciiTheme="minorEastAsia" w:hAnsiTheme="minorEastAsia"/>
          <w:b/>
          <w:bCs/>
          <w:sz w:val="24"/>
        </w:rPr>
        <w:t>；</w:t>
      </w:r>
    </w:p>
    <w:p w14:paraId="15318D7E">
      <w:pPr>
        <w:adjustRightInd w:val="0"/>
        <w:snapToGrid w:val="0"/>
        <w:spacing w:line="560" w:lineRule="exact"/>
        <w:rPr>
          <w:rFonts w:cs="宋体" w:asciiTheme="minorEastAsia" w:hAnsiTheme="minorEastAsia"/>
          <w:b/>
          <w:bCs/>
          <w:sz w:val="24"/>
        </w:rPr>
      </w:pPr>
      <w:r>
        <w:rPr>
          <w:rFonts w:hint="eastAsia" w:cs="宋体" w:asciiTheme="minorEastAsia" w:hAnsiTheme="minorEastAsia"/>
          <w:sz w:val="24"/>
        </w:rPr>
        <w:t>3. 工程规模：</w:t>
      </w:r>
      <w:r>
        <w:rPr>
          <w:rFonts w:hint="eastAsia" w:cs="宋体" w:asciiTheme="minorEastAsia" w:hAnsiTheme="minorEastAsia"/>
          <w:b/>
          <w:bCs/>
          <w:sz w:val="24"/>
          <w:u w:val="single"/>
        </w:rPr>
        <w:t>新建 D2400 雨水管道，西起扬溧高速穿过光明南郡，东至天王山路，扩建明渠约 250 平方米，将循环水补给至站岗沟上游国良桥附近，对站岗沟进行活水循环。</w:t>
      </w:r>
    </w:p>
    <w:p w14:paraId="290DE87A">
      <w:pPr>
        <w:adjustRightInd w:val="0"/>
        <w:snapToGrid w:val="0"/>
        <w:spacing w:line="560" w:lineRule="exact"/>
        <w:ind w:firstLine="475" w:firstLineChars="198"/>
        <w:jc w:val="left"/>
        <w:rPr>
          <w:rFonts w:cs="宋体" w:asciiTheme="minorEastAsia" w:hAnsiTheme="minorEastAsia"/>
          <w:b/>
          <w:bCs/>
          <w:sz w:val="24"/>
          <w:highlight w:val="none"/>
          <w:u w:val="single"/>
        </w:rPr>
      </w:pPr>
      <w:r>
        <w:rPr>
          <w:rFonts w:hint="eastAsia" w:cs="宋体" w:asciiTheme="minorEastAsia" w:hAnsiTheme="minorEastAsia"/>
          <w:sz w:val="24"/>
        </w:rPr>
        <w:t>4. 工程</w:t>
      </w:r>
      <w:r>
        <w:rPr>
          <w:rFonts w:hint="eastAsia" w:cs="宋体" w:asciiTheme="minorEastAsia" w:hAnsiTheme="minorEastAsia"/>
          <w:kern w:val="0"/>
          <w:sz w:val="24"/>
        </w:rPr>
        <w:t>概算投资额或建筑安装工程费</w:t>
      </w:r>
      <w:r>
        <w:rPr>
          <w:rFonts w:hint="eastAsia" w:cs="宋体" w:asciiTheme="minorEastAsia" w:hAnsiTheme="minorEastAsia"/>
          <w:sz w:val="24"/>
          <w:highlight w:val="none"/>
        </w:rPr>
        <w:t>：</w:t>
      </w:r>
      <w:r>
        <w:rPr>
          <w:rFonts w:hint="eastAsia" w:cs="宋体" w:asciiTheme="minorEastAsia" w:hAnsiTheme="minorEastAsia"/>
          <w:b/>
          <w:bCs/>
          <w:sz w:val="24"/>
          <w:highlight w:val="none"/>
          <w:u w:val="single"/>
          <w:lang w:val="en-US" w:eastAsia="zh-CN"/>
        </w:rPr>
        <w:t>2113.24</w:t>
      </w:r>
      <w:r>
        <w:rPr>
          <w:rFonts w:hint="eastAsia" w:cs="宋体" w:asciiTheme="minorEastAsia" w:hAnsiTheme="minorEastAsia"/>
          <w:b/>
          <w:bCs/>
          <w:sz w:val="24"/>
          <w:highlight w:val="none"/>
          <w:u w:val="single"/>
        </w:rPr>
        <w:t>万元（建筑安装工程费） 。</w:t>
      </w:r>
    </w:p>
    <w:p w14:paraId="159C51A9">
      <w:pPr>
        <w:spacing w:line="560" w:lineRule="exact"/>
        <w:ind w:firstLine="477" w:firstLineChars="198"/>
        <w:outlineLvl w:val="0"/>
        <w:rPr>
          <w:rFonts w:cs="宋体" w:asciiTheme="minorEastAsia" w:hAnsiTheme="minorEastAsia"/>
          <w:b/>
          <w:sz w:val="24"/>
        </w:rPr>
      </w:pPr>
      <w:bookmarkStart w:id="78" w:name="_Toc211511464"/>
      <w:r>
        <w:rPr>
          <w:rFonts w:hint="eastAsia" w:cs="宋体" w:asciiTheme="minorEastAsia" w:hAnsiTheme="minorEastAsia"/>
          <w:b/>
          <w:sz w:val="24"/>
        </w:rPr>
        <w:t>二、词语限定</w:t>
      </w:r>
      <w:bookmarkEnd w:id="78"/>
    </w:p>
    <w:p w14:paraId="28F582DC">
      <w:pPr>
        <w:adjustRightInd w:val="0"/>
        <w:snapToGrid w:val="0"/>
        <w:spacing w:line="560" w:lineRule="exact"/>
        <w:ind w:firstLine="475" w:firstLineChars="198"/>
        <w:rPr>
          <w:rFonts w:cs="宋体" w:asciiTheme="minorEastAsia" w:hAnsiTheme="minorEastAsia"/>
          <w:sz w:val="24"/>
        </w:rPr>
      </w:pPr>
      <w:r>
        <w:rPr>
          <w:rFonts w:hint="eastAsia" w:cs="宋体" w:asciiTheme="minorEastAsia" w:hAnsiTheme="minorEastAsia"/>
          <w:sz w:val="24"/>
        </w:rPr>
        <w:t>协议书中相关词语的含义与通用条件中的定义与解释相同。</w:t>
      </w:r>
    </w:p>
    <w:p w14:paraId="6DA9E9D1">
      <w:pPr>
        <w:spacing w:line="560" w:lineRule="exact"/>
        <w:ind w:firstLine="477" w:firstLineChars="198"/>
        <w:outlineLvl w:val="0"/>
        <w:rPr>
          <w:rFonts w:cs="宋体" w:asciiTheme="minorEastAsia" w:hAnsiTheme="minorEastAsia"/>
          <w:b/>
          <w:sz w:val="24"/>
        </w:rPr>
      </w:pPr>
      <w:bookmarkStart w:id="79" w:name="_Toc211511465"/>
      <w:r>
        <w:rPr>
          <w:rFonts w:hint="eastAsia" w:cs="宋体" w:asciiTheme="minorEastAsia" w:hAnsiTheme="minorEastAsia"/>
          <w:b/>
          <w:sz w:val="24"/>
        </w:rPr>
        <w:t>三、组成本合同的文件</w:t>
      </w:r>
      <w:bookmarkEnd w:id="79"/>
    </w:p>
    <w:p w14:paraId="2A7BE419">
      <w:pPr>
        <w:adjustRightInd w:val="0"/>
        <w:snapToGrid w:val="0"/>
        <w:spacing w:line="560" w:lineRule="exact"/>
        <w:ind w:firstLine="475" w:firstLineChars="198"/>
        <w:rPr>
          <w:rFonts w:cs="宋体" w:asciiTheme="minorEastAsia" w:hAnsiTheme="minorEastAsia"/>
          <w:sz w:val="24"/>
        </w:rPr>
      </w:pPr>
      <w:r>
        <w:rPr>
          <w:rFonts w:hint="eastAsia" w:cs="宋体" w:asciiTheme="minorEastAsia" w:hAnsiTheme="minorEastAsia"/>
          <w:sz w:val="24"/>
        </w:rPr>
        <w:t>1. 协议书；</w:t>
      </w:r>
    </w:p>
    <w:p w14:paraId="6DEA5F95">
      <w:pPr>
        <w:adjustRightInd w:val="0"/>
        <w:snapToGrid w:val="0"/>
        <w:spacing w:line="560" w:lineRule="exact"/>
        <w:ind w:firstLine="475" w:firstLineChars="198"/>
        <w:rPr>
          <w:rFonts w:cs="宋体" w:asciiTheme="minorEastAsia" w:hAnsiTheme="minorEastAsia"/>
          <w:sz w:val="24"/>
        </w:rPr>
      </w:pPr>
      <w:r>
        <w:rPr>
          <w:rFonts w:hint="eastAsia" w:cs="宋体" w:asciiTheme="minorEastAsia" w:hAnsiTheme="minorEastAsia"/>
          <w:sz w:val="24"/>
        </w:rPr>
        <w:t>2. 中标通知书（适用于招标工程）或委托书（适用于非招标工程）；</w:t>
      </w:r>
    </w:p>
    <w:p w14:paraId="5361C26D">
      <w:pPr>
        <w:adjustRightInd w:val="0"/>
        <w:snapToGrid w:val="0"/>
        <w:spacing w:line="560" w:lineRule="exact"/>
        <w:ind w:firstLine="475" w:firstLineChars="198"/>
        <w:rPr>
          <w:rFonts w:cs="宋体" w:asciiTheme="minorEastAsia" w:hAnsiTheme="minorEastAsia"/>
          <w:sz w:val="24"/>
        </w:rPr>
      </w:pPr>
      <w:r>
        <w:rPr>
          <w:rFonts w:hint="eastAsia" w:cs="宋体" w:asciiTheme="minorEastAsia" w:hAnsiTheme="minorEastAsia"/>
          <w:sz w:val="24"/>
        </w:rPr>
        <w:t>3. 投标文件（适用于招标工程）或监理与相关服务建议书（适用于非招标工程）；</w:t>
      </w:r>
    </w:p>
    <w:p w14:paraId="686CADA1">
      <w:pPr>
        <w:adjustRightInd w:val="0"/>
        <w:snapToGrid w:val="0"/>
        <w:spacing w:line="560" w:lineRule="exact"/>
        <w:rPr>
          <w:rFonts w:cs="宋体" w:asciiTheme="minorEastAsia" w:hAnsiTheme="minorEastAsia"/>
          <w:sz w:val="24"/>
        </w:rPr>
      </w:pPr>
      <w:r>
        <w:rPr>
          <w:rFonts w:hint="eastAsia" w:cs="宋体" w:asciiTheme="minorEastAsia" w:hAnsiTheme="minorEastAsia"/>
          <w:sz w:val="24"/>
        </w:rPr>
        <w:t xml:space="preserve">    4. 专用条件；</w:t>
      </w:r>
    </w:p>
    <w:p w14:paraId="2C4DF81E">
      <w:pPr>
        <w:adjustRightInd w:val="0"/>
        <w:snapToGrid w:val="0"/>
        <w:spacing w:line="560" w:lineRule="exact"/>
        <w:ind w:firstLine="475" w:firstLineChars="198"/>
        <w:rPr>
          <w:rFonts w:cs="宋体" w:asciiTheme="minorEastAsia" w:hAnsiTheme="minorEastAsia"/>
          <w:sz w:val="24"/>
        </w:rPr>
      </w:pPr>
      <w:r>
        <w:rPr>
          <w:rFonts w:hint="eastAsia" w:cs="宋体" w:asciiTheme="minorEastAsia" w:hAnsiTheme="minorEastAsia"/>
          <w:sz w:val="24"/>
        </w:rPr>
        <w:t>5. 通用条件；</w:t>
      </w:r>
    </w:p>
    <w:p w14:paraId="46346FB0">
      <w:pPr>
        <w:adjustRightInd w:val="0"/>
        <w:snapToGrid w:val="0"/>
        <w:spacing w:line="560" w:lineRule="exact"/>
        <w:ind w:firstLine="475" w:firstLineChars="198"/>
        <w:rPr>
          <w:rFonts w:cs="宋体" w:asciiTheme="minorEastAsia" w:hAnsiTheme="minorEastAsia"/>
          <w:sz w:val="24"/>
        </w:rPr>
      </w:pPr>
      <w:r>
        <w:rPr>
          <w:rFonts w:hint="eastAsia" w:cs="宋体" w:asciiTheme="minorEastAsia" w:hAnsiTheme="minorEastAsia"/>
          <w:sz w:val="24"/>
        </w:rPr>
        <w:t>6. 附录，即：</w:t>
      </w:r>
    </w:p>
    <w:p w14:paraId="64AD9624">
      <w:pPr>
        <w:adjustRightInd w:val="0"/>
        <w:snapToGrid w:val="0"/>
        <w:spacing w:line="560" w:lineRule="exact"/>
        <w:ind w:firstLine="475" w:firstLineChars="198"/>
        <w:rPr>
          <w:rFonts w:cs="宋体" w:asciiTheme="minorEastAsia" w:hAnsiTheme="minorEastAsia"/>
          <w:sz w:val="24"/>
        </w:rPr>
      </w:pPr>
      <w:r>
        <w:rPr>
          <w:rFonts w:hint="eastAsia" w:cs="宋体" w:asciiTheme="minorEastAsia" w:hAnsiTheme="minorEastAsia"/>
          <w:sz w:val="24"/>
        </w:rPr>
        <w:t>附录A  相关服务的范围和内容</w:t>
      </w:r>
    </w:p>
    <w:p w14:paraId="7265CFCC">
      <w:pPr>
        <w:adjustRightInd w:val="0"/>
        <w:snapToGrid w:val="0"/>
        <w:spacing w:line="560" w:lineRule="exact"/>
        <w:ind w:firstLine="480" w:firstLineChars="200"/>
        <w:rPr>
          <w:rFonts w:cs="宋体" w:asciiTheme="minorEastAsia" w:hAnsiTheme="minorEastAsia"/>
          <w:sz w:val="24"/>
        </w:rPr>
      </w:pPr>
      <w:r>
        <w:rPr>
          <w:rFonts w:hint="eastAsia" w:cs="宋体" w:asciiTheme="minorEastAsia" w:hAnsiTheme="minorEastAsia"/>
          <w:sz w:val="24"/>
        </w:rPr>
        <w:t>附录B  委托人派遣的人员和提供的</w:t>
      </w:r>
      <w:r>
        <w:rPr>
          <w:rFonts w:hint="eastAsia" w:cs="宋体" w:asciiTheme="minorEastAsia" w:hAnsiTheme="minorEastAsia"/>
          <w:bCs/>
          <w:sz w:val="24"/>
        </w:rPr>
        <w:t>房屋、资料</w:t>
      </w:r>
      <w:r>
        <w:rPr>
          <w:rFonts w:hint="eastAsia" w:cs="宋体" w:asciiTheme="minorEastAsia" w:hAnsiTheme="minorEastAsia"/>
          <w:sz w:val="24"/>
        </w:rPr>
        <w:t>、设备</w:t>
      </w:r>
    </w:p>
    <w:p w14:paraId="46E1B474">
      <w:pPr>
        <w:adjustRightInd w:val="0"/>
        <w:snapToGrid w:val="0"/>
        <w:spacing w:line="560" w:lineRule="exact"/>
        <w:ind w:firstLine="475" w:firstLineChars="198"/>
        <w:rPr>
          <w:rFonts w:cs="宋体" w:asciiTheme="minorEastAsia" w:hAnsiTheme="minorEastAsia"/>
          <w:sz w:val="24"/>
        </w:rPr>
      </w:pPr>
      <w:r>
        <w:rPr>
          <w:rFonts w:hint="eastAsia" w:cs="宋体" w:asciiTheme="minorEastAsia" w:hAnsiTheme="minorEastAsia"/>
          <w:sz w:val="24"/>
        </w:rPr>
        <w:t>本合同签订后，双方依法签订的补充协议也是本合同文件的组成部分。</w:t>
      </w:r>
    </w:p>
    <w:p w14:paraId="5BD49CFB">
      <w:pPr>
        <w:numPr>
          <w:ilvl w:val="0"/>
          <w:numId w:val="2"/>
        </w:numPr>
        <w:spacing w:line="560" w:lineRule="exact"/>
        <w:ind w:firstLine="477" w:firstLineChars="198"/>
        <w:outlineLvl w:val="0"/>
        <w:rPr>
          <w:rFonts w:cs="宋体" w:asciiTheme="minorEastAsia" w:hAnsiTheme="minorEastAsia"/>
          <w:b/>
          <w:sz w:val="24"/>
        </w:rPr>
      </w:pPr>
      <w:bookmarkStart w:id="80" w:name="_Toc211511466"/>
      <w:r>
        <w:rPr>
          <w:rFonts w:hint="eastAsia" w:cs="宋体" w:asciiTheme="minorEastAsia" w:hAnsiTheme="minorEastAsia"/>
          <w:b/>
          <w:sz w:val="24"/>
        </w:rPr>
        <w:t>总监理工程师</w:t>
      </w:r>
      <w:bookmarkEnd w:id="80"/>
    </w:p>
    <w:p w14:paraId="06973708">
      <w:pPr>
        <w:adjustRightInd w:val="0"/>
        <w:snapToGrid w:val="0"/>
        <w:spacing w:line="560" w:lineRule="exact"/>
        <w:ind w:firstLine="475" w:firstLineChars="198"/>
        <w:rPr>
          <w:rFonts w:cs="宋体" w:asciiTheme="minorEastAsia" w:hAnsiTheme="minorEastAsia"/>
          <w:sz w:val="24"/>
        </w:rPr>
      </w:pPr>
      <w:r>
        <w:rPr>
          <w:rFonts w:hint="eastAsia" w:cs="宋体" w:asciiTheme="minorEastAsia" w:hAnsiTheme="minorEastAsia"/>
          <w:sz w:val="24"/>
        </w:rPr>
        <w:t>总监理工程师姓名：</w:t>
      </w:r>
      <w:r>
        <w:rPr>
          <w:rFonts w:hint="eastAsia" w:cs="宋体" w:asciiTheme="minorEastAsia" w:hAnsiTheme="minorEastAsia"/>
          <w:sz w:val="24"/>
          <w:u w:val="single"/>
        </w:rPr>
        <w:t xml:space="preserve">         </w:t>
      </w:r>
      <w:r>
        <w:rPr>
          <w:rFonts w:hint="eastAsia" w:cs="宋体" w:asciiTheme="minorEastAsia" w:hAnsiTheme="minorEastAsia"/>
          <w:sz w:val="24"/>
        </w:rPr>
        <w:t xml:space="preserve">  ，身份证号码： </w:t>
      </w:r>
      <w:r>
        <w:rPr>
          <w:rFonts w:hint="eastAsia" w:cs="宋体" w:asciiTheme="minorEastAsia" w:hAnsiTheme="minorEastAsia"/>
          <w:sz w:val="24"/>
          <w:u w:val="single"/>
        </w:rPr>
        <w:t xml:space="preserve">    </w:t>
      </w:r>
      <w:r>
        <w:rPr>
          <w:rFonts w:hint="eastAsia" w:cs="宋体" w:asciiTheme="minorEastAsia" w:hAnsiTheme="minorEastAsia"/>
          <w:sz w:val="24"/>
        </w:rPr>
        <w:t xml:space="preserve">     ，注册号：</w:t>
      </w:r>
      <w:r>
        <w:rPr>
          <w:rFonts w:hint="eastAsia" w:cs="宋体" w:asciiTheme="minorEastAsia" w:hAnsiTheme="minorEastAsia"/>
          <w:sz w:val="24"/>
          <w:u w:val="single"/>
        </w:rPr>
        <w:t xml:space="preserve">   </w:t>
      </w:r>
      <w:r>
        <w:rPr>
          <w:rFonts w:hint="eastAsia" w:cs="宋体" w:asciiTheme="minorEastAsia" w:hAnsiTheme="minorEastAsia"/>
          <w:sz w:val="24"/>
        </w:rPr>
        <w:t xml:space="preserve">        </w:t>
      </w:r>
    </w:p>
    <w:p w14:paraId="7226EC52">
      <w:pPr>
        <w:adjustRightInd w:val="0"/>
        <w:snapToGrid w:val="0"/>
        <w:spacing w:line="560" w:lineRule="exact"/>
        <w:ind w:firstLine="475" w:firstLineChars="198"/>
        <w:rPr>
          <w:rFonts w:cs="宋体" w:asciiTheme="minorEastAsia" w:hAnsiTheme="minorEastAsia"/>
          <w:sz w:val="24"/>
        </w:rPr>
      </w:pPr>
      <w:r>
        <w:rPr>
          <w:rFonts w:hint="eastAsia" w:cs="宋体" w:asciiTheme="minorEastAsia" w:hAnsiTheme="minorEastAsia"/>
          <w:sz w:val="24"/>
        </w:rPr>
        <w:t>五、签约酬金</w:t>
      </w:r>
    </w:p>
    <w:p w14:paraId="334A51F8">
      <w:pPr>
        <w:adjustRightInd w:val="0"/>
        <w:snapToGrid w:val="0"/>
        <w:spacing w:line="560" w:lineRule="exact"/>
        <w:ind w:firstLine="475" w:firstLineChars="198"/>
        <w:rPr>
          <w:rFonts w:cs="宋体" w:asciiTheme="minorEastAsia" w:hAnsiTheme="minorEastAsia"/>
          <w:sz w:val="24"/>
        </w:rPr>
      </w:pPr>
      <w:r>
        <w:rPr>
          <w:rFonts w:hint="eastAsia" w:cs="宋体" w:asciiTheme="minorEastAsia" w:hAnsiTheme="minorEastAsia"/>
          <w:sz w:val="24"/>
        </w:rPr>
        <w:t>签约酬金暂定价(含税价)：</w:t>
      </w:r>
      <w:r>
        <w:rPr>
          <w:rFonts w:hint="eastAsia" w:cs="宋体" w:asciiTheme="minorEastAsia" w:hAnsiTheme="minorEastAsia"/>
          <w:sz w:val="24"/>
          <w:u w:val="single"/>
        </w:rPr>
        <w:t xml:space="preserve">         </w:t>
      </w:r>
      <w:r>
        <w:rPr>
          <w:rFonts w:hint="eastAsia" w:cs="宋体" w:asciiTheme="minorEastAsia" w:hAnsiTheme="minorEastAsia"/>
          <w:sz w:val="24"/>
        </w:rPr>
        <w:t xml:space="preserve"> 元整人民币（¥  </w:t>
      </w:r>
      <w:r>
        <w:rPr>
          <w:rFonts w:hint="eastAsia" w:cs="宋体" w:asciiTheme="minorEastAsia" w:hAnsiTheme="minorEastAsia"/>
          <w:sz w:val="24"/>
          <w:u w:val="single"/>
        </w:rPr>
        <w:t xml:space="preserve">       </w:t>
      </w:r>
      <w:r>
        <w:rPr>
          <w:rFonts w:hint="eastAsia" w:cs="宋体" w:asciiTheme="minorEastAsia" w:hAnsiTheme="minorEastAsia"/>
          <w:sz w:val="24"/>
        </w:rPr>
        <w:t xml:space="preserve"> 元）。中标费率 </w:t>
      </w:r>
      <w:r>
        <w:rPr>
          <w:rFonts w:hint="eastAsia" w:cs="宋体" w:asciiTheme="minorEastAsia" w:hAnsiTheme="minorEastAsia"/>
          <w:sz w:val="24"/>
          <w:u w:val="single"/>
        </w:rPr>
        <w:t xml:space="preserve">       </w:t>
      </w:r>
      <w:r>
        <w:rPr>
          <w:rFonts w:hint="eastAsia" w:cs="宋体" w:asciiTheme="minorEastAsia" w:hAnsiTheme="minorEastAsia"/>
          <w:sz w:val="24"/>
        </w:rPr>
        <w:t xml:space="preserve">  %。</w:t>
      </w:r>
    </w:p>
    <w:p w14:paraId="453752F6">
      <w:pPr>
        <w:adjustRightInd w:val="0"/>
        <w:snapToGrid w:val="0"/>
        <w:spacing w:line="560" w:lineRule="exact"/>
        <w:ind w:firstLine="475" w:firstLineChars="198"/>
        <w:rPr>
          <w:rFonts w:cs="宋体" w:asciiTheme="minorEastAsia" w:hAnsiTheme="minorEastAsia"/>
          <w:sz w:val="24"/>
        </w:rPr>
      </w:pPr>
      <w:r>
        <w:rPr>
          <w:rFonts w:hint="eastAsia" w:cs="宋体" w:asciiTheme="minorEastAsia" w:hAnsiTheme="minorEastAsia"/>
          <w:sz w:val="24"/>
        </w:rPr>
        <w:t>包括：</w:t>
      </w:r>
    </w:p>
    <w:p w14:paraId="02BFFACE">
      <w:pPr>
        <w:adjustRightInd w:val="0"/>
        <w:snapToGrid w:val="0"/>
        <w:spacing w:line="560" w:lineRule="exact"/>
        <w:ind w:firstLine="475" w:firstLineChars="198"/>
        <w:rPr>
          <w:rFonts w:cs="宋体" w:asciiTheme="minorEastAsia" w:hAnsiTheme="minorEastAsia"/>
          <w:sz w:val="24"/>
        </w:rPr>
      </w:pPr>
      <w:r>
        <w:rPr>
          <w:rFonts w:hint="eastAsia" w:cs="宋体" w:asciiTheme="minorEastAsia" w:hAnsiTheme="minorEastAsia"/>
          <w:sz w:val="24"/>
        </w:rPr>
        <w:t xml:space="preserve">监理酬金暂定价（含税价）：（大写）  </w:t>
      </w:r>
      <w:r>
        <w:rPr>
          <w:rFonts w:hint="eastAsia" w:cs="宋体" w:asciiTheme="minorEastAsia" w:hAnsiTheme="minorEastAsia"/>
          <w:sz w:val="24"/>
          <w:u w:val="single"/>
        </w:rPr>
        <w:t xml:space="preserve">        元</w:t>
      </w:r>
      <w:r>
        <w:rPr>
          <w:rFonts w:hint="eastAsia" w:cs="宋体" w:asciiTheme="minorEastAsia" w:hAnsiTheme="minorEastAsia"/>
          <w:sz w:val="24"/>
        </w:rPr>
        <w:t xml:space="preserve">整人民币（¥  </w:t>
      </w:r>
      <w:r>
        <w:rPr>
          <w:rFonts w:hint="eastAsia" w:cs="宋体" w:asciiTheme="minorEastAsia" w:hAnsiTheme="minorEastAsia"/>
          <w:sz w:val="24"/>
          <w:u w:val="single"/>
        </w:rPr>
        <w:t xml:space="preserve">  </w:t>
      </w:r>
      <w:r>
        <w:rPr>
          <w:rFonts w:hint="eastAsia" w:cs="宋体" w:asciiTheme="minorEastAsia" w:hAnsiTheme="minorEastAsia"/>
          <w:sz w:val="24"/>
        </w:rPr>
        <w:t xml:space="preserve">      元）。其中不含税价：</w:t>
      </w:r>
      <w:r>
        <w:rPr>
          <w:rFonts w:hint="eastAsia" w:cs="宋体" w:asciiTheme="minorEastAsia" w:hAnsiTheme="minorEastAsia"/>
          <w:sz w:val="24"/>
          <w:u w:val="single"/>
        </w:rPr>
        <w:t xml:space="preserve">        </w:t>
      </w:r>
      <w:r>
        <w:rPr>
          <w:rFonts w:hint="eastAsia" w:cs="宋体" w:asciiTheme="minorEastAsia" w:hAnsiTheme="minorEastAsia"/>
          <w:sz w:val="24"/>
        </w:rPr>
        <w:t xml:space="preserve">  整（¥  </w:t>
      </w:r>
      <w:r>
        <w:rPr>
          <w:rFonts w:hint="eastAsia" w:cs="宋体" w:asciiTheme="minorEastAsia" w:hAnsiTheme="minorEastAsia"/>
          <w:sz w:val="24"/>
          <w:u w:val="single"/>
        </w:rPr>
        <w:t xml:space="preserve">        </w:t>
      </w:r>
      <w:r>
        <w:rPr>
          <w:rFonts w:hint="eastAsia" w:cs="宋体" w:asciiTheme="minorEastAsia" w:hAnsiTheme="minorEastAsia"/>
          <w:sz w:val="24"/>
        </w:rPr>
        <w:t>元）</w:t>
      </w:r>
    </w:p>
    <w:p w14:paraId="4BBB9194">
      <w:pPr>
        <w:adjustRightInd w:val="0"/>
        <w:snapToGrid w:val="0"/>
        <w:spacing w:line="560" w:lineRule="exact"/>
        <w:ind w:firstLine="475" w:firstLineChars="198"/>
        <w:rPr>
          <w:rFonts w:cs="宋体" w:asciiTheme="minorEastAsia" w:hAnsiTheme="minorEastAsia"/>
          <w:sz w:val="24"/>
        </w:rPr>
      </w:pPr>
      <w:r>
        <w:rPr>
          <w:rFonts w:hint="eastAsia" w:cs="宋体" w:asciiTheme="minorEastAsia" w:hAnsiTheme="minorEastAsia"/>
          <w:sz w:val="24"/>
        </w:rPr>
        <w:t>2. 相关服务酬金： / 。</w:t>
      </w:r>
    </w:p>
    <w:p w14:paraId="75CCBD12">
      <w:pPr>
        <w:adjustRightInd w:val="0"/>
        <w:snapToGrid w:val="0"/>
        <w:spacing w:line="560" w:lineRule="exact"/>
        <w:ind w:firstLine="475" w:firstLineChars="198"/>
        <w:rPr>
          <w:rFonts w:cs="宋体" w:asciiTheme="minorEastAsia" w:hAnsiTheme="minorEastAsia"/>
          <w:sz w:val="24"/>
        </w:rPr>
      </w:pPr>
      <w:r>
        <w:rPr>
          <w:rFonts w:hint="eastAsia" w:cs="宋体" w:asciiTheme="minorEastAsia" w:hAnsiTheme="minorEastAsia"/>
          <w:sz w:val="24"/>
        </w:rPr>
        <w:t>其中：</w:t>
      </w:r>
    </w:p>
    <w:p w14:paraId="4A7E415E">
      <w:pPr>
        <w:adjustRightInd w:val="0"/>
        <w:snapToGrid w:val="0"/>
        <w:spacing w:line="560" w:lineRule="exact"/>
        <w:ind w:firstLine="475" w:firstLineChars="198"/>
        <w:rPr>
          <w:rFonts w:cs="宋体" w:asciiTheme="minorEastAsia" w:hAnsiTheme="minorEastAsia"/>
          <w:sz w:val="24"/>
        </w:rPr>
      </w:pPr>
      <w:r>
        <w:rPr>
          <w:rFonts w:hint="eastAsia" w:cs="宋体" w:asciiTheme="minorEastAsia" w:hAnsiTheme="minorEastAsia"/>
          <w:sz w:val="24"/>
        </w:rPr>
        <w:t>（1）勘察阶段服务酬金： / 。</w:t>
      </w:r>
    </w:p>
    <w:p w14:paraId="689E874A">
      <w:pPr>
        <w:adjustRightInd w:val="0"/>
        <w:snapToGrid w:val="0"/>
        <w:spacing w:line="560" w:lineRule="exact"/>
        <w:ind w:firstLine="475" w:firstLineChars="198"/>
        <w:rPr>
          <w:rFonts w:cs="宋体" w:asciiTheme="minorEastAsia" w:hAnsiTheme="minorEastAsia"/>
          <w:sz w:val="24"/>
        </w:rPr>
      </w:pPr>
      <w:r>
        <w:rPr>
          <w:rFonts w:hint="eastAsia" w:cs="宋体" w:asciiTheme="minorEastAsia" w:hAnsiTheme="minorEastAsia"/>
          <w:sz w:val="24"/>
        </w:rPr>
        <w:t>（2）设计阶段服务酬金： / 。</w:t>
      </w:r>
    </w:p>
    <w:p w14:paraId="24B9216A">
      <w:pPr>
        <w:adjustRightInd w:val="0"/>
        <w:snapToGrid w:val="0"/>
        <w:spacing w:line="560" w:lineRule="exact"/>
        <w:ind w:firstLine="475" w:firstLineChars="198"/>
        <w:rPr>
          <w:rFonts w:cs="宋体" w:asciiTheme="minorEastAsia" w:hAnsiTheme="minorEastAsia"/>
          <w:sz w:val="24"/>
        </w:rPr>
      </w:pPr>
      <w:r>
        <w:rPr>
          <w:rFonts w:hint="eastAsia" w:cs="宋体" w:asciiTheme="minorEastAsia" w:hAnsiTheme="minorEastAsia"/>
          <w:sz w:val="24"/>
        </w:rPr>
        <w:t>（3）保修阶段服务酬金： / 。</w:t>
      </w:r>
    </w:p>
    <w:p w14:paraId="6D4398D3">
      <w:pPr>
        <w:adjustRightInd w:val="0"/>
        <w:snapToGrid w:val="0"/>
        <w:spacing w:line="560" w:lineRule="exact"/>
        <w:ind w:firstLine="475" w:firstLineChars="198"/>
        <w:rPr>
          <w:rFonts w:cs="宋体" w:asciiTheme="minorEastAsia" w:hAnsiTheme="minorEastAsia"/>
          <w:sz w:val="24"/>
        </w:rPr>
      </w:pPr>
      <w:r>
        <w:rPr>
          <w:rFonts w:hint="eastAsia" w:cs="宋体" w:asciiTheme="minorEastAsia" w:hAnsiTheme="minorEastAsia"/>
          <w:sz w:val="24"/>
        </w:rPr>
        <w:t>（4）其他相关服务酬金： / 。</w:t>
      </w:r>
    </w:p>
    <w:p w14:paraId="554AD521">
      <w:pPr>
        <w:spacing w:line="560" w:lineRule="exact"/>
        <w:ind w:firstLine="477" w:firstLineChars="198"/>
        <w:outlineLvl w:val="0"/>
        <w:rPr>
          <w:rFonts w:cs="宋体" w:asciiTheme="minorEastAsia" w:hAnsiTheme="minorEastAsia"/>
          <w:b/>
          <w:sz w:val="24"/>
        </w:rPr>
      </w:pPr>
      <w:bookmarkStart w:id="81" w:name="_Toc211511467"/>
      <w:r>
        <w:rPr>
          <w:rFonts w:hint="eastAsia" w:cs="宋体" w:asciiTheme="minorEastAsia" w:hAnsiTheme="minorEastAsia"/>
          <w:b/>
          <w:sz w:val="24"/>
        </w:rPr>
        <w:t>六、监理期限</w:t>
      </w:r>
      <w:bookmarkEnd w:id="81"/>
    </w:p>
    <w:p w14:paraId="32DF4435">
      <w:pPr>
        <w:widowControl/>
        <w:spacing w:line="560" w:lineRule="exact"/>
        <w:ind w:firstLine="475" w:firstLineChars="198"/>
        <w:jc w:val="left"/>
        <w:rPr>
          <w:rFonts w:cs="宋体" w:asciiTheme="minorEastAsia" w:hAnsiTheme="minorEastAsia"/>
          <w:sz w:val="24"/>
        </w:rPr>
      </w:pPr>
      <w:r>
        <w:rPr>
          <w:rFonts w:hint="eastAsia" w:cs="宋体" w:asciiTheme="minorEastAsia" w:hAnsiTheme="minorEastAsia"/>
          <w:sz w:val="24"/>
        </w:rPr>
        <w:t>以实际开工日期为准直至项目竣工结束（工期</w:t>
      </w:r>
      <w:r>
        <w:rPr>
          <w:rFonts w:hint="eastAsia" w:cs="宋体" w:asciiTheme="minorEastAsia" w:hAnsiTheme="minorEastAsia"/>
          <w:sz w:val="24"/>
          <w:lang w:val="en-US" w:eastAsia="zh-CN"/>
        </w:rPr>
        <w:t>150</w:t>
      </w:r>
      <w:r>
        <w:rPr>
          <w:rFonts w:hint="eastAsia" w:cs="宋体" w:asciiTheme="minorEastAsia" w:hAnsiTheme="minorEastAsia"/>
          <w:b/>
          <w:bCs/>
          <w:sz w:val="24"/>
        </w:rPr>
        <w:t>日历</w:t>
      </w:r>
      <w:r>
        <w:rPr>
          <w:rFonts w:hint="eastAsia" w:cs="宋体" w:asciiTheme="minorEastAsia" w:hAnsiTheme="minorEastAsia"/>
          <w:sz w:val="24"/>
        </w:rPr>
        <w:t>天）。</w:t>
      </w:r>
    </w:p>
    <w:p w14:paraId="3A486A57">
      <w:pPr>
        <w:spacing w:line="560" w:lineRule="exact"/>
        <w:ind w:firstLine="477" w:firstLineChars="198"/>
        <w:outlineLvl w:val="0"/>
        <w:rPr>
          <w:rFonts w:cs="宋体" w:asciiTheme="minorEastAsia" w:hAnsiTheme="minorEastAsia"/>
          <w:b/>
          <w:sz w:val="24"/>
        </w:rPr>
      </w:pPr>
      <w:bookmarkStart w:id="82" w:name="_Toc211511468"/>
      <w:r>
        <w:rPr>
          <w:rFonts w:hint="eastAsia" w:cs="宋体" w:asciiTheme="minorEastAsia" w:hAnsiTheme="minorEastAsia"/>
          <w:b/>
          <w:sz w:val="24"/>
        </w:rPr>
        <w:t>七、双方承诺</w:t>
      </w:r>
      <w:bookmarkEnd w:id="82"/>
    </w:p>
    <w:p w14:paraId="07245138">
      <w:pPr>
        <w:widowControl/>
        <w:spacing w:line="560" w:lineRule="exact"/>
        <w:ind w:firstLine="475" w:firstLineChars="198"/>
        <w:jc w:val="left"/>
        <w:rPr>
          <w:rFonts w:cs="宋体" w:asciiTheme="minorEastAsia" w:hAnsiTheme="minorEastAsia"/>
          <w:sz w:val="24"/>
        </w:rPr>
      </w:pPr>
      <w:r>
        <w:rPr>
          <w:rFonts w:hint="eastAsia" w:cs="宋体" w:asciiTheme="minorEastAsia" w:hAnsiTheme="minorEastAsia"/>
          <w:sz w:val="24"/>
        </w:rPr>
        <w:t>1. 监理人向委托人承诺，按照本合同约定提供监理与相关服务。</w:t>
      </w:r>
    </w:p>
    <w:p w14:paraId="174C7B02">
      <w:pPr>
        <w:widowControl/>
        <w:spacing w:line="560" w:lineRule="exact"/>
        <w:ind w:firstLine="475" w:firstLineChars="198"/>
        <w:jc w:val="left"/>
        <w:rPr>
          <w:rFonts w:cs="宋体" w:asciiTheme="minorEastAsia" w:hAnsiTheme="minorEastAsia"/>
          <w:sz w:val="24"/>
        </w:rPr>
      </w:pPr>
      <w:r>
        <w:rPr>
          <w:rFonts w:hint="eastAsia" w:cs="宋体" w:asciiTheme="minorEastAsia" w:hAnsiTheme="minorEastAsia"/>
          <w:sz w:val="24"/>
        </w:rPr>
        <w:t>2. 委托人向监理人承诺，按照本合同约定派遣相应的人员，提供房屋、资料、设备，并按本合同约定支付酬金。</w:t>
      </w:r>
    </w:p>
    <w:p w14:paraId="6C17AEE6">
      <w:pPr>
        <w:spacing w:line="560" w:lineRule="exact"/>
        <w:ind w:firstLine="477" w:firstLineChars="198"/>
        <w:outlineLvl w:val="0"/>
        <w:rPr>
          <w:rFonts w:cs="宋体" w:asciiTheme="minorEastAsia" w:hAnsiTheme="minorEastAsia"/>
          <w:b/>
          <w:sz w:val="24"/>
        </w:rPr>
      </w:pPr>
      <w:bookmarkStart w:id="83" w:name="_Toc211511469"/>
      <w:r>
        <w:rPr>
          <w:rFonts w:hint="eastAsia" w:cs="宋体" w:asciiTheme="minorEastAsia" w:hAnsiTheme="minorEastAsia"/>
          <w:b/>
          <w:sz w:val="24"/>
        </w:rPr>
        <w:t>八、合同订立</w:t>
      </w:r>
      <w:bookmarkEnd w:id="83"/>
    </w:p>
    <w:p w14:paraId="639DB014">
      <w:pPr>
        <w:adjustRightInd w:val="0"/>
        <w:snapToGrid w:val="0"/>
        <w:spacing w:line="560" w:lineRule="exact"/>
        <w:ind w:firstLine="475" w:firstLineChars="198"/>
        <w:rPr>
          <w:rFonts w:cs="宋体" w:asciiTheme="minorEastAsia" w:hAnsiTheme="minorEastAsia"/>
          <w:sz w:val="24"/>
        </w:rPr>
      </w:pPr>
      <w:r>
        <w:rPr>
          <w:rFonts w:hint="eastAsia" w:cs="宋体" w:asciiTheme="minorEastAsia" w:hAnsiTheme="minorEastAsia"/>
          <w:sz w:val="24"/>
        </w:rPr>
        <w:t>1. 订立时间：</w:t>
      </w:r>
      <w:r>
        <w:rPr>
          <w:rFonts w:hint="eastAsia" w:cs="宋体" w:asciiTheme="minorEastAsia" w:hAnsiTheme="minorEastAsia"/>
          <w:b/>
          <w:bCs/>
          <w:sz w:val="24"/>
          <w:u w:val="single"/>
        </w:rPr>
        <w:t xml:space="preserve"> 2025 </w:t>
      </w:r>
      <w:r>
        <w:rPr>
          <w:rFonts w:hint="eastAsia" w:cs="宋体" w:asciiTheme="minorEastAsia" w:hAnsiTheme="minorEastAsia"/>
          <w:sz w:val="24"/>
        </w:rPr>
        <w:t>年  月</w:t>
      </w:r>
      <w:r>
        <w:rPr>
          <w:rFonts w:hint="eastAsia" w:cs="宋体" w:asciiTheme="minorEastAsia" w:hAnsiTheme="minorEastAsia"/>
          <w:b/>
          <w:bCs/>
          <w:sz w:val="24"/>
          <w:u w:val="single"/>
        </w:rPr>
        <w:t xml:space="preserve">    </w:t>
      </w:r>
      <w:r>
        <w:rPr>
          <w:rFonts w:hint="eastAsia" w:cs="宋体" w:asciiTheme="minorEastAsia" w:hAnsiTheme="minorEastAsia"/>
          <w:sz w:val="24"/>
        </w:rPr>
        <w:t>日。</w:t>
      </w:r>
    </w:p>
    <w:p w14:paraId="3378D94A">
      <w:pPr>
        <w:adjustRightInd w:val="0"/>
        <w:snapToGrid w:val="0"/>
        <w:spacing w:line="560" w:lineRule="exact"/>
        <w:ind w:firstLine="475" w:firstLineChars="198"/>
        <w:rPr>
          <w:rFonts w:cs="宋体" w:asciiTheme="minorEastAsia" w:hAnsiTheme="minorEastAsia"/>
          <w:sz w:val="24"/>
        </w:rPr>
      </w:pPr>
      <w:r>
        <w:rPr>
          <w:rFonts w:hint="eastAsia" w:cs="宋体" w:asciiTheme="minorEastAsia" w:hAnsiTheme="minorEastAsia"/>
          <w:sz w:val="24"/>
        </w:rPr>
        <w:t>2. 订立地点：</w:t>
      </w:r>
      <w:r>
        <w:rPr>
          <w:rFonts w:hint="eastAsia" w:cs="宋体" w:asciiTheme="minorEastAsia" w:hAnsiTheme="minorEastAsia"/>
          <w:b/>
          <w:bCs/>
          <w:sz w:val="24"/>
          <w:u w:val="single"/>
        </w:rPr>
        <w:t xml:space="preserve">  镇江市丹徒区住房和城乡建设局办公室  </w:t>
      </w:r>
      <w:r>
        <w:rPr>
          <w:rFonts w:hint="eastAsia" w:cs="宋体" w:asciiTheme="minorEastAsia" w:hAnsiTheme="minorEastAsia"/>
          <w:sz w:val="24"/>
        </w:rPr>
        <w:t>。</w:t>
      </w:r>
    </w:p>
    <w:p w14:paraId="429C9777">
      <w:pPr>
        <w:adjustRightInd w:val="0"/>
        <w:snapToGrid w:val="0"/>
        <w:spacing w:line="560" w:lineRule="exact"/>
        <w:ind w:firstLine="475" w:firstLineChars="198"/>
      </w:pPr>
      <w:r>
        <w:rPr>
          <w:rFonts w:hint="eastAsia" w:cs="宋体" w:asciiTheme="minorEastAsia" w:hAnsiTheme="minorEastAsia"/>
          <w:sz w:val="24"/>
        </w:rPr>
        <w:t>3. 本合同一式</w:t>
      </w:r>
      <w:r>
        <w:rPr>
          <w:rFonts w:hint="eastAsia" w:cs="宋体" w:asciiTheme="minorEastAsia" w:hAnsiTheme="minorEastAsia"/>
          <w:b/>
          <w:bCs/>
          <w:sz w:val="24"/>
          <w:u w:val="single"/>
        </w:rPr>
        <w:t xml:space="preserve"> 陆 </w:t>
      </w:r>
      <w:r>
        <w:rPr>
          <w:rFonts w:hint="eastAsia" w:cs="宋体" w:asciiTheme="minorEastAsia" w:hAnsiTheme="minorEastAsia"/>
          <w:sz w:val="24"/>
        </w:rPr>
        <w:t>份，具有同等法律效力，双方各执</w:t>
      </w:r>
      <w:r>
        <w:rPr>
          <w:rFonts w:hint="eastAsia" w:cs="宋体" w:asciiTheme="minorEastAsia" w:hAnsiTheme="minorEastAsia"/>
          <w:b/>
          <w:bCs/>
          <w:sz w:val="24"/>
          <w:u w:val="single"/>
        </w:rPr>
        <w:t xml:space="preserve"> 叁 </w:t>
      </w:r>
      <w:r>
        <w:rPr>
          <w:rFonts w:hint="eastAsia" w:cs="宋体" w:asciiTheme="minorEastAsia" w:hAnsiTheme="minorEastAsia"/>
          <w:sz w:val="24"/>
        </w:rPr>
        <w:t>份。</w:t>
      </w:r>
    </w:p>
    <w:p w14:paraId="5D4FFBED">
      <w:pPr>
        <w:adjustRightInd w:val="0"/>
        <w:snapToGrid w:val="0"/>
        <w:spacing w:line="560" w:lineRule="exact"/>
        <w:ind w:firstLine="475" w:firstLineChars="198"/>
        <w:rPr>
          <w:rFonts w:cs="宋体" w:asciiTheme="minorEastAsia" w:hAnsiTheme="minorEastAsia"/>
          <w:sz w:val="24"/>
        </w:rPr>
      </w:pPr>
    </w:p>
    <w:p w14:paraId="09B1BA76">
      <w:pPr>
        <w:rPr>
          <w:rFonts w:cs="宋体" w:asciiTheme="minorEastAsia" w:hAnsiTheme="minorEastAsia"/>
          <w:sz w:val="24"/>
        </w:rPr>
      </w:pPr>
    </w:p>
    <w:tbl>
      <w:tblPr>
        <w:tblStyle w:val="24"/>
        <w:tblW w:w="9036" w:type="dxa"/>
        <w:tblInd w:w="0" w:type="dxa"/>
        <w:tblLayout w:type="fixed"/>
        <w:tblCellMar>
          <w:top w:w="0" w:type="dxa"/>
          <w:left w:w="108" w:type="dxa"/>
          <w:bottom w:w="0" w:type="dxa"/>
          <w:right w:w="108" w:type="dxa"/>
        </w:tblCellMar>
      </w:tblPr>
      <w:tblGrid>
        <w:gridCol w:w="1809"/>
        <w:gridCol w:w="2552"/>
        <w:gridCol w:w="1793"/>
        <w:gridCol w:w="2882"/>
      </w:tblGrid>
      <w:tr w14:paraId="12146150">
        <w:tblPrEx>
          <w:tblCellMar>
            <w:top w:w="0" w:type="dxa"/>
            <w:left w:w="108" w:type="dxa"/>
            <w:bottom w:w="0" w:type="dxa"/>
            <w:right w:w="108" w:type="dxa"/>
          </w:tblCellMar>
        </w:tblPrEx>
        <w:trPr>
          <w:trHeight w:val="454" w:hRule="atLeast"/>
        </w:trPr>
        <w:tc>
          <w:tcPr>
            <w:tcW w:w="1809" w:type="dxa"/>
          </w:tcPr>
          <w:p w14:paraId="024AECEE">
            <w:pPr>
              <w:rPr>
                <w:rFonts w:cs="宋体" w:asciiTheme="minorEastAsia" w:hAnsiTheme="minorEastAsia"/>
                <w:sz w:val="24"/>
              </w:rPr>
            </w:pPr>
            <w:r>
              <w:rPr>
                <w:rFonts w:hint="eastAsia" w:cs="宋体" w:asciiTheme="minorEastAsia" w:hAnsiTheme="minorEastAsia"/>
                <w:sz w:val="24"/>
              </w:rPr>
              <w:t>甲方：</w:t>
            </w:r>
          </w:p>
        </w:tc>
        <w:tc>
          <w:tcPr>
            <w:tcW w:w="2552" w:type="dxa"/>
          </w:tcPr>
          <w:p w14:paraId="0F701272">
            <w:pPr>
              <w:rPr>
                <w:rFonts w:cs="宋体" w:asciiTheme="minorEastAsia" w:hAnsiTheme="minorEastAsia"/>
                <w:sz w:val="24"/>
              </w:rPr>
            </w:pPr>
            <w:r>
              <w:rPr>
                <w:rFonts w:hint="eastAsia" w:cs="宋体" w:asciiTheme="minorEastAsia" w:hAnsiTheme="minorEastAsia"/>
                <w:sz w:val="24"/>
              </w:rPr>
              <w:t xml:space="preserve">(公章)  </w:t>
            </w:r>
          </w:p>
        </w:tc>
        <w:tc>
          <w:tcPr>
            <w:tcW w:w="1793" w:type="dxa"/>
          </w:tcPr>
          <w:p w14:paraId="59806ACB">
            <w:pPr>
              <w:rPr>
                <w:rFonts w:cs="宋体" w:asciiTheme="minorEastAsia" w:hAnsiTheme="minorEastAsia"/>
                <w:sz w:val="24"/>
              </w:rPr>
            </w:pPr>
            <w:r>
              <w:rPr>
                <w:rFonts w:hint="eastAsia" w:cs="宋体" w:asciiTheme="minorEastAsia" w:hAnsiTheme="minorEastAsia"/>
                <w:sz w:val="24"/>
              </w:rPr>
              <w:t>乙方：</w:t>
            </w:r>
          </w:p>
        </w:tc>
        <w:tc>
          <w:tcPr>
            <w:tcW w:w="2882" w:type="dxa"/>
          </w:tcPr>
          <w:p w14:paraId="2E8DD440">
            <w:pPr>
              <w:rPr>
                <w:rFonts w:cs="宋体" w:asciiTheme="minorEastAsia" w:hAnsiTheme="minorEastAsia"/>
                <w:sz w:val="24"/>
              </w:rPr>
            </w:pPr>
            <w:r>
              <w:rPr>
                <w:rFonts w:hint="eastAsia" w:cs="宋体" w:asciiTheme="minorEastAsia" w:hAnsiTheme="minorEastAsia"/>
                <w:sz w:val="24"/>
              </w:rPr>
              <w:t>(公章)</w:t>
            </w:r>
          </w:p>
        </w:tc>
      </w:tr>
      <w:tr w14:paraId="63763FFF">
        <w:tblPrEx>
          <w:tblCellMar>
            <w:top w:w="0" w:type="dxa"/>
            <w:left w:w="108" w:type="dxa"/>
            <w:bottom w:w="0" w:type="dxa"/>
            <w:right w:w="108" w:type="dxa"/>
          </w:tblCellMar>
        </w:tblPrEx>
        <w:trPr>
          <w:trHeight w:val="454" w:hRule="atLeast"/>
        </w:trPr>
        <w:tc>
          <w:tcPr>
            <w:tcW w:w="1809" w:type="dxa"/>
            <w:vAlign w:val="center"/>
          </w:tcPr>
          <w:p w14:paraId="32E5E72C">
            <w:pPr>
              <w:rPr>
                <w:rFonts w:cs="宋体" w:asciiTheme="minorEastAsia" w:hAnsiTheme="minorEastAsia"/>
                <w:sz w:val="24"/>
              </w:rPr>
            </w:pPr>
            <w:r>
              <w:rPr>
                <w:rFonts w:hint="eastAsia" w:cs="宋体" w:asciiTheme="minorEastAsia" w:hAnsiTheme="minorEastAsia"/>
                <w:sz w:val="24"/>
              </w:rPr>
              <w:t>法定代表人或其委托代理人：</w:t>
            </w:r>
          </w:p>
        </w:tc>
        <w:tc>
          <w:tcPr>
            <w:tcW w:w="2552" w:type="dxa"/>
          </w:tcPr>
          <w:p w14:paraId="38E243CC">
            <w:pPr>
              <w:rPr>
                <w:rFonts w:cs="宋体" w:asciiTheme="minorEastAsia" w:hAnsiTheme="minorEastAsia"/>
                <w:sz w:val="24"/>
              </w:rPr>
            </w:pPr>
            <w:r>
              <w:rPr>
                <w:rFonts w:hint="eastAsia" w:cs="宋体" w:asciiTheme="minorEastAsia" w:hAnsiTheme="minorEastAsia"/>
                <w:sz w:val="24"/>
              </w:rPr>
              <w:t>(签字或盖章）</w:t>
            </w:r>
          </w:p>
        </w:tc>
        <w:tc>
          <w:tcPr>
            <w:tcW w:w="1793" w:type="dxa"/>
            <w:vAlign w:val="center"/>
          </w:tcPr>
          <w:p w14:paraId="5B4FC785">
            <w:pPr>
              <w:rPr>
                <w:rFonts w:cs="宋体" w:asciiTheme="minorEastAsia" w:hAnsiTheme="minorEastAsia"/>
                <w:sz w:val="24"/>
              </w:rPr>
            </w:pPr>
            <w:r>
              <w:rPr>
                <w:rFonts w:hint="eastAsia" w:cs="宋体" w:asciiTheme="minorEastAsia" w:hAnsiTheme="minorEastAsia"/>
                <w:sz w:val="24"/>
              </w:rPr>
              <w:t>法定代表人或其委托代理人：</w:t>
            </w:r>
          </w:p>
        </w:tc>
        <w:tc>
          <w:tcPr>
            <w:tcW w:w="2882" w:type="dxa"/>
          </w:tcPr>
          <w:p w14:paraId="1EA60E10">
            <w:pPr>
              <w:rPr>
                <w:rFonts w:cs="宋体" w:asciiTheme="minorEastAsia" w:hAnsiTheme="minorEastAsia"/>
                <w:sz w:val="24"/>
              </w:rPr>
            </w:pPr>
            <w:r>
              <w:rPr>
                <w:rFonts w:hint="eastAsia" w:cs="宋体" w:asciiTheme="minorEastAsia" w:hAnsiTheme="minorEastAsia"/>
                <w:sz w:val="24"/>
              </w:rPr>
              <w:t>(签字或盖章)</w:t>
            </w:r>
          </w:p>
        </w:tc>
      </w:tr>
      <w:tr w14:paraId="3BE33C98">
        <w:tblPrEx>
          <w:tblCellMar>
            <w:top w:w="0" w:type="dxa"/>
            <w:left w:w="108" w:type="dxa"/>
            <w:bottom w:w="0" w:type="dxa"/>
            <w:right w:w="108" w:type="dxa"/>
          </w:tblCellMar>
        </w:tblPrEx>
        <w:trPr>
          <w:trHeight w:val="454" w:hRule="atLeast"/>
        </w:trPr>
        <w:tc>
          <w:tcPr>
            <w:tcW w:w="1809" w:type="dxa"/>
          </w:tcPr>
          <w:p w14:paraId="4A81FEB7">
            <w:pPr>
              <w:rPr>
                <w:rFonts w:cs="宋体" w:asciiTheme="minorEastAsia" w:hAnsiTheme="minorEastAsia"/>
                <w:sz w:val="24"/>
              </w:rPr>
            </w:pPr>
            <w:r>
              <w:rPr>
                <w:rFonts w:hint="eastAsia" w:cs="宋体" w:asciiTheme="minorEastAsia" w:hAnsiTheme="minorEastAsia"/>
                <w:sz w:val="24"/>
              </w:rPr>
              <w:t>组织机构代码：</w:t>
            </w:r>
          </w:p>
        </w:tc>
        <w:tc>
          <w:tcPr>
            <w:tcW w:w="2552" w:type="dxa"/>
          </w:tcPr>
          <w:p w14:paraId="78158D97">
            <w:pPr>
              <w:rPr>
                <w:rFonts w:cs="宋体" w:asciiTheme="minorEastAsia" w:hAnsiTheme="minorEastAsia"/>
                <w:sz w:val="24"/>
              </w:rPr>
            </w:pPr>
          </w:p>
        </w:tc>
        <w:tc>
          <w:tcPr>
            <w:tcW w:w="1793" w:type="dxa"/>
          </w:tcPr>
          <w:p w14:paraId="6DE5D543">
            <w:pPr>
              <w:rPr>
                <w:rFonts w:cs="宋体" w:asciiTheme="minorEastAsia" w:hAnsiTheme="minorEastAsia"/>
                <w:sz w:val="24"/>
              </w:rPr>
            </w:pPr>
            <w:r>
              <w:rPr>
                <w:rFonts w:hint="eastAsia" w:cs="宋体" w:asciiTheme="minorEastAsia" w:hAnsiTheme="minorEastAsia"/>
                <w:sz w:val="24"/>
              </w:rPr>
              <w:t>组织机构代码：</w:t>
            </w:r>
          </w:p>
        </w:tc>
        <w:tc>
          <w:tcPr>
            <w:tcW w:w="2882" w:type="dxa"/>
          </w:tcPr>
          <w:p w14:paraId="25334B7A">
            <w:pPr>
              <w:rPr>
                <w:rFonts w:cs="宋体" w:asciiTheme="minorEastAsia" w:hAnsiTheme="minorEastAsia"/>
                <w:sz w:val="24"/>
              </w:rPr>
            </w:pPr>
          </w:p>
        </w:tc>
      </w:tr>
      <w:tr w14:paraId="3A25799F">
        <w:tblPrEx>
          <w:tblCellMar>
            <w:top w:w="0" w:type="dxa"/>
            <w:left w:w="108" w:type="dxa"/>
            <w:bottom w:w="0" w:type="dxa"/>
            <w:right w:w="108" w:type="dxa"/>
          </w:tblCellMar>
        </w:tblPrEx>
        <w:trPr>
          <w:trHeight w:val="454" w:hRule="atLeast"/>
        </w:trPr>
        <w:tc>
          <w:tcPr>
            <w:tcW w:w="1809" w:type="dxa"/>
          </w:tcPr>
          <w:p w14:paraId="179872AE">
            <w:pPr>
              <w:rPr>
                <w:rFonts w:cs="宋体" w:asciiTheme="minorEastAsia" w:hAnsiTheme="minorEastAsia"/>
                <w:sz w:val="24"/>
              </w:rPr>
            </w:pPr>
            <w:r>
              <w:rPr>
                <w:rFonts w:hint="eastAsia" w:cs="宋体" w:asciiTheme="minorEastAsia" w:hAnsiTheme="minorEastAsia"/>
                <w:sz w:val="24"/>
              </w:rPr>
              <w:t>地  址：</w:t>
            </w:r>
          </w:p>
        </w:tc>
        <w:tc>
          <w:tcPr>
            <w:tcW w:w="2552" w:type="dxa"/>
          </w:tcPr>
          <w:p w14:paraId="4E74406C">
            <w:pPr>
              <w:rPr>
                <w:rFonts w:cs="宋体" w:asciiTheme="minorEastAsia" w:hAnsiTheme="minorEastAsia"/>
                <w:sz w:val="24"/>
              </w:rPr>
            </w:pPr>
          </w:p>
        </w:tc>
        <w:tc>
          <w:tcPr>
            <w:tcW w:w="1793" w:type="dxa"/>
          </w:tcPr>
          <w:p w14:paraId="5CD84673">
            <w:pPr>
              <w:rPr>
                <w:rFonts w:cs="宋体" w:asciiTheme="minorEastAsia" w:hAnsiTheme="minorEastAsia"/>
                <w:sz w:val="24"/>
              </w:rPr>
            </w:pPr>
            <w:r>
              <w:rPr>
                <w:rFonts w:hint="eastAsia" w:cs="宋体" w:asciiTheme="minorEastAsia" w:hAnsiTheme="minorEastAsia"/>
                <w:sz w:val="24"/>
              </w:rPr>
              <w:t>地  址：</w:t>
            </w:r>
          </w:p>
        </w:tc>
        <w:tc>
          <w:tcPr>
            <w:tcW w:w="2882" w:type="dxa"/>
          </w:tcPr>
          <w:p w14:paraId="70139419">
            <w:pPr>
              <w:rPr>
                <w:rFonts w:cs="宋体" w:asciiTheme="minorEastAsia" w:hAnsiTheme="minorEastAsia"/>
                <w:sz w:val="24"/>
              </w:rPr>
            </w:pPr>
          </w:p>
        </w:tc>
      </w:tr>
      <w:tr w14:paraId="14DAF344">
        <w:tblPrEx>
          <w:tblCellMar>
            <w:top w:w="0" w:type="dxa"/>
            <w:left w:w="108" w:type="dxa"/>
            <w:bottom w:w="0" w:type="dxa"/>
            <w:right w:w="108" w:type="dxa"/>
          </w:tblCellMar>
        </w:tblPrEx>
        <w:trPr>
          <w:trHeight w:val="454" w:hRule="atLeast"/>
        </w:trPr>
        <w:tc>
          <w:tcPr>
            <w:tcW w:w="1809" w:type="dxa"/>
          </w:tcPr>
          <w:p w14:paraId="4AB78A06">
            <w:pPr>
              <w:rPr>
                <w:rFonts w:cs="宋体" w:asciiTheme="minorEastAsia" w:hAnsiTheme="minorEastAsia"/>
                <w:sz w:val="24"/>
              </w:rPr>
            </w:pPr>
            <w:r>
              <w:rPr>
                <w:rFonts w:hint="eastAsia" w:cs="宋体" w:asciiTheme="minorEastAsia" w:hAnsiTheme="minorEastAsia"/>
                <w:sz w:val="24"/>
              </w:rPr>
              <w:t>邮政编码：</w:t>
            </w:r>
          </w:p>
        </w:tc>
        <w:tc>
          <w:tcPr>
            <w:tcW w:w="2552" w:type="dxa"/>
          </w:tcPr>
          <w:p w14:paraId="7E36EA08">
            <w:pPr>
              <w:rPr>
                <w:rFonts w:cs="宋体" w:asciiTheme="minorEastAsia" w:hAnsiTheme="minorEastAsia"/>
                <w:sz w:val="24"/>
              </w:rPr>
            </w:pPr>
            <w:r>
              <w:rPr>
                <w:rFonts w:hint="eastAsia" w:cs="宋体" w:asciiTheme="minorEastAsia" w:hAnsiTheme="minorEastAsia"/>
                <w:sz w:val="24"/>
              </w:rPr>
              <w:t xml:space="preserve">    </w:t>
            </w:r>
          </w:p>
        </w:tc>
        <w:tc>
          <w:tcPr>
            <w:tcW w:w="1793" w:type="dxa"/>
          </w:tcPr>
          <w:p w14:paraId="1BBD3DA7">
            <w:pPr>
              <w:rPr>
                <w:rFonts w:cs="宋体" w:asciiTheme="minorEastAsia" w:hAnsiTheme="minorEastAsia"/>
                <w:sz w:val="24"/>
              </w:rPr>
            </w:pPr>
            <w:r>
              <w:rPr>
                <w:rFonts w:hint="eastAsia" w:cs="宋体" w:asciiTheme="minorEastAsia" w:hAnsiTheme="minorEastAsia"/>
                <w:sz w:val="24"/>
              </w:rPr>
              <w:t>邮政编码：</w:t>
            </w:r>
          </w:p>
        </w:tc>
        <w:tc>
          <w:tcPr>
            <w:tcW w:w="2882" w:type="dxa"/>
          </w:tcPr>
          <w:p w14:paraId="45F2F62D">
            <w:pPr>
              <w:rPr>
                <w:rFonts w:cs="宋体" w:asciiTheme="minorEastAsia" w:hAnsiTheme="minorEastAsia"/>
                <w:sz w:val="24"/>
              </w:rPr>
            </w:pPr>
          </w:p>
        </w:tc>
      </w:tr>
      <w:tr w14:paraId="75E8EE17">
        <w:tblPrEx>
          <w:tblCellMar>
            <w:top w:w="0" w:type="dxa"/>
            <w:left w:w="108" w:type="dxa"/>
            <w:bottom w:w="0" w:type="dxa"/>
            <w:right w:w="108" w:type="dxa"/>
          </w:tblCellMar>
        </w:tblPrEx>
        <w:trPr>
          <w:trHeight w:val="454" w:hRule="atLeast"/>
        </w:trPr>
        <w:tc>
          <w:tcPr>
            <w:tcW w:w="1809" w:type="dxa"/>
          </w:tcPr>
          <w:p w14:paraId="2EB34628">
            <w:pPr>
              <w:rPr>
                <w:rFonts w:cs="宋体" w:asciiTheme="minorEastAsia" w:hAnsiTheme="minorEastAsia"/>
                <w:sz w:val="24"/>
              </w:rPr>
            </w:pPr>
            <w:r>
              <w:rPr>
                <w:rFonts w:hint="eastAsia" w:cs="宋体" w:asciiTheme="minorEastAsia" w:hAnsiTheme="minorEastAsia"/>
                <w:sz w:val="24"/>
              </w:rPr>
              <w:t>电  话：</w:t>
            </w:r>
          </w:p>
        </w:tc>
        <w:tc>
          <w:tcPr>
            <w:tcW w:w="2552" w:type="dxa"/>
          </w:tcPr>
          <w:p w14:paraId="2E9726D4">
            <w:pPr>
              <w:rPr>
                <w:rFonts w:cs="宋体" w:asciiTheme="minorEastAsia" w:hAnsiTheme="minorEastAsia"/>
                <w:sz w:val="24"/>
              </w:rPr>
            </w:pPr>
          </w:p>
        </w:tc>
        <w:tc>
          <w:tcPr>
            <w:tcW w:w="1793" w:type="dxa"/>
          </w:tcPr>
          <w:p w14:paraId="77B952A0">
            <w:pPr>
              <w:rPr>
                <w:rFonts w:cs="宋体" w:asciiTheme="minorEastAsia" w:hAnsiTheme="minorEastAsia"/>
                <w:sz w:val="24"/>
              </w:rPr>
            </w:pPr>
            <w:r>
              <w:rPr>
                <w:rFonts w:hint="eastAsia" w:cs="宋体" w:asciiTheme="minorEastAsia" w:hAnsiTheme="minorEastAsia"/>
                <w:sz w:val="24"/>
              </w:rPr>
              <w:t>电  话：</w:t>
            </w:r>
          </w:p>
        </w:tc>
        <w:tc>
          <w:tcPr>
            <w:tcW w:w="2882" w:type="dxa"/>
          </w:tcPr>
          <w:p w14:paraId="1BA3CC7F">
            <w:pPr>
              <w:rPr>
                <w:rFonts w:cs="宋体" w:asciiTheme="minorEastAsia" w:hAnsiTheme="minorEastAsia"/>
                <w:sz w:val="24"/>
              </w:rPr>
            </w:pPr>
          </w:p>
        </w:tc>
      </w:tr>
      <w:tr w14:paraId="4C6DA582">
        <w:tblPrEx>
          <w:tblCellMar>
            <w:top w:w="0" w:type="dxa"/>
            <w:left w:w="108" w:type="dxa"/>
            <w:bottom w:w="0" w:type="dxa"/>
            <w:right w:w="108" w:type="dxa"/>
          </w:tblCellMar>
        </w:tblPrEx>
        <w:trPr>
          <w:trHeight w:val="454" w:hRule="atLeast"/>
        </w:trPr>
        <w:tc>
          <w:tcPr>
            <w:tcW w:w="1809" w:type="dxa"/>
          </w:tcPr>
          <w:p w14:paraId="0402CCEA">
            <w:pPr>
              <w:rPr>
                <w:rFonts w:cs="宋体" w:asciiTheme="minorEastAsia" w:hAnsiTheme="minorEastAsia"/>
                <w:sz w:val="24"/>
              </w:rPr>
            </w:pPr>
            <w:r>
              <w:rPr>
                <w:rFonts w:hint="eastAsia" w:cs="宋体" w:asciiTheme="minorEastAsia" w:hAnsiTheme="minorEastAsia"/>
                <w:sz w:val="24"/>
              </w:rPr>
              <w:t>传  真：</w:t>
            </w:r>
          </w:p>
        </w:tc>
        <w:tc>
          <w:tcPr>
            <w:tcW w:w="2552" w:type="dxa"/>
          </w:tcPr>
          <w:p w14:paraId="7A7BD77D">
            <w:pPr>
              <w:rPr>
                <w:rFonts w:cs="宋体" w:asciiTheme="minorEastAsia" w:hAnsiTheme="minorEastAsia"/>
                <w:sz w:val="24"/>
              </w:rPr>
            </w:pPr>
          </w:p>
        </w:tc>
        <w:tc>
          <w:tcPr>
            <w:tcW w:w="1793" w:type="dxa"/>
          </w:tcPr>
          <w:p w14:paraId="7C06D63C">
            <w:pPr>
              <w:rPr>
                <w:rFonts w:cs="宋体" w:asciiTheme="minorEastAsia" w:hAnsiTheme="minorEastAsia"/>
                <w:sz w:val="24"/>
              </w:rPr>
            </w:pPr>
            <w:r>
              <w:rPr>
                <w:rFonts w:hint="eastAsia" w:cs="宋体" w:asciiTheme="minorEastAsia" w:hAnsiTheme="minorEastAsia"/>
                <w:sz w:val="24"/>
              </w:rPr>
              <w:t>传  真：</w:t>
            </w:r>
          </w:p>
        </w:tc>
        <w:tc>
          <w:tcPr>
            <w:tcW w:w="2882" w:type="dxa"/>
          </w:tcPr>
          <w:p w14:paraId="2D55B781">
            <w:pPr>
              <w:rPr>
                <w:rFonts w:cs="宋体" w:asciiTheme="minorEastAsia" w:hAnsiTheme="minorEastAsia"/>
                <w:sz w:val="24"/>
              </w:rPr>
            </w:pPr>
          </w:p>
        </w:tc>
      </w:tr>
      <w:tr w14:paraId="5D7B9DE2">
        <w:tblPrEx>
          <w:tblCellMar>
            <w:top w:w="0" w:type="dxa"/>
            <w:left w:w="108" w:type="dxa"/>
            <w:bottom w:w="0" w:type="dxa"/>
            <w:right w:w="108" w:type="dxa"/>
          </w:tblCellMar>
        </w:tblPrEx>
        <w:trPr>
          <w:trHeight w:val="454" w:hRule="atLeast"/>
        </w:trPr>
        <w:tc>
          <w:tcPr>
            <w:tcW w:w="1809" w:type="dxa"/>
          </w:tcPr>
          <w:p w14:paraId="2573374F">
            <w:pPr>
              <w:rPr>
                <w:rFonts w:cs="宋体" w:asciiTheme="minorEastAsia" w:hAnsiTheme="minorEastAsia"/>
                <w:sz w:val="24"/>
              </w:rPr>
            </w:pPr>
            <w:r>
              <w:rPr>
                <w:rFonts w:hint="eastAsia" w:cs="宋体" w:asciiTheme="minorEastAsia" w:hAnsiTheme="minorEastAsia"/>
                <w:sz w:val="24"/>
              </w:rPr>
              <w:t>电子信箱：</w:t>
            </w:r>
          </w:p>
        </w:tc>
        <w:tc>
          <w:tcPr>
            <w:tcW w:w="2552" w:type="dxa"/>
          </w:tcPr>
          <w:p w14:paraId="501D8553">
            <w:pPr>
              <w:rPr>
                <w:rFonts w:cs="宋体" w:asciiTheme="minorEastAsia" w:hAnsiTheme="minorEastAsia"/>
                <w:sz w:val="24"/>
              </w:rPr>
            </w:pPr>
          </w:p>
        </w:tc>
        <w:tc>
          <w:tcPr>
            <w:tcW w:w="1793" w:type="dxa"/>
          </w:tcPr>
          <w:p w14:paraId="1790A0C3">
            <w:pPr>
              <w:rPr>
                <w:rFonts w:cs="宋体" w:asciiTheme="minorEastAsia" w:hAnsiTheme="minorEastAsia"/>
                <w:sz w:val="24"/>
              </w:rPr>
            </w:pPr>
            <w:r>
              <w:rPr>
                <w:rFonts w:hint="eastAsia" w:cs="宋体" w:asciiTheme="minorEastAsia" w:hAnsiTheme="minorEastAsia"/>
                <w:sz w:val="24"/>
              </w:rPr>
              <w:t>电子信箱：</w:t>
            </w:r>
          </w:p>
        </w:tc>
        <w:tc>
          <w:tcPr>
            <w:tcW w:w="2882" w:type="dxa"/>
          </w:tcPr>
          <w:p w14:paraId="227429FD">
            <w:pPr>
              <w:rPr>
                <w:rFonts w:cs="宋体" w:asciiTheme="minorEastAsia" w:hAnsiTheme="minorEastAsia"/>
                <w:sz w:val="24"/>
              </w:rPr>
            </w:pPr>
          </w:p>
        </w:tc>
      </w:tr>
      <w:tr w14:paraId="29584979">
        <w:tblPrEx>
          <w:tblCellMar>
            <w:top w:w="0" w:type="dxa"/>
            <w:left w:w="108" w:type="dxa"/>
            <w:bottom w:w="0" w:type="dxa"/>
            <w:right w:w="108" w:type="dxa"/>
          </w:tblCellMar>
        </w:tblPrEx>
        <w:trPr>
          <w:trHeight w:val="454" w:hRule="atLeast"/>
        </w:trPr>
        <w:tc>
          <w:tcPr>
            <w:tcW w:w="1809" w:type="dxa"/>
          </w:tcPr>
          <w:p w14:paraId="6A64D22C">
            <w:pPr>
              <w:rPr>
                <w:rFonts w:cs="宋体" w:asciiTheme="minorEastAsia" w:hAnsiTheme="minorEastAsia"/>
                <w:sz w:val="24"/>
              </w:rPr>
            </w:pPr>
            <w:r>
              <w:rPr>
                <w:rFonts w:hint="eastAsia" w:cs="宋体" w:asciiTheme="minorEastAsia" w:hAnsiTheme="minorEastAsia"/>
                <w:sz w:val="24"/>
              </w:rPr>
              <w:t>开户银行：</w:t>
            </w:r>
          </w:p>
        </w:tc>
        <w:tc>
          <w:tcPr>
            <w:tcW w:w="2552" w:type="dxa"/>
          </w:tcPr>
          <w:p w14:paraId="38DFD17A">
            <w:pPr>
              <w:rPr>
                <w:rFonts w:cs="宋体" w:asciiTheme="minorEastAsia" w:hAnsiTheme="minorEastAsia"/>
                <w:sz w:val="24"/>
              </w:rPr>
            </w:pPr>
            <w:r>
              <w:rPr>
                <w:rFonts w:hint="eastAsia" w:cs="宋体" w:asciiTheme="minorEastAsia" w:hAnsiTheme="minorEastAsia"/>
                <w:sz w:val="24"/>
              </w:rPr>
              <w:t xml:space="preserve">  </w:t>
            </w:r>
          </w:p>
        </w:tc>
        <w:tc>
          <w:tcPr>
            <w:tcW w:w="1793" w:type="dxa"/>
          </w:tcPr>
          <w:p w14:paraId="7D7419F2">
            <w:pPr>
              <w:rPr>
                <w:rFonts w:cs="宋体" w:asciiTheme="minorEastAsia" w:hAnsiTheme="minorEastAsia"/>
                <w:sz w:val="24"/>
              </w:rPr>
            </w:pPr>
            <w:r>
              <w:rPr>
                <w:rFonts w:hint="eastAsia" w:cs="宋体" w:asciiTheme="minorEastAsia" w:hAnsiTheme="minorEastAsia"/>
                <w:sz w:val="24"/>
              </w:rPr>
              <w:t>开户银行：</w:t>
            </w:r>
          </w:p>
        </w:tc>
        <w:tc>
          <w:tcPr>
            <w:tcW w:w="2882" w:type="dxa"/>
          </w:tcPr>
          <w:p w14:paraId="6A1456F1">
            <w:pPr>
              <w:rPr>
                <w:rFonts w:cs="宋体" w:asciiTheme="minorEastAsia" w:hAnsiTheme="minorEastAsia"/>
                <w:sz w:val="24"/>
              </w:rPr>
            </w:pPr>
          </w:p>
        </w:tc>
      </w:tr>
      <w:tr w14:paraId="6440DD82">
        <w:tblPrEx>
          <w:tblCellMar>
            <w:top w:w="0" w:type="dxa"/>
            <w:left w:w="108" w:type="dxa"/>
            <w:bottom w:w="0" w:type="dxa"/>
            <w:right w:w="108" w:type="dxa"/>
          </w:tblCellMar>
        </w:tblPrEx>
        <w:trPr>
          <w:trHeight w:val="454" w:hRule="atLeast"/>
        </w:trPr>
        <w:tc>
          <w:tcPr>
            <w:tcW w:w="1809" w:type="dxa"/>
          </w:tcPr>
          <w:p w14:paraId="3B076C57">
            <w:pPr>
              <w:rPr>
                <w:rFonts w:cs="宋体" w:asciiTheme="minorEastAsia" w:hAnsiTheme="minorEastAsia"/>
                <w:sz w:val="24"/>
              </w:rPr>
            </w:pPr>
            <w:r>
              <w:rPr>
                <w:rFonts w:hint="eastAsia" w:cs="宋体" w:asciiTheme="minorEastAsia" w:hAnsiTheme="minorEastAsia"/>
                <w:sz w:val="24"/>
              </w:rPr>
              <w:t>账  号：</w:t>
            </w:r>
          </w:p>
        </w:tc>
        <w:tc>
          <w:tcPr>
            <w:tcW w:w="2552" w:type="dxa"/>
          </w:tcPr>
          <w:p w14:paraId="26D42717">
            <w:pPr>
              <w:rPr>
                <w:rFonts w:cs="宋体" w:asciiTheme="minorEastAsia" w:hAnsiTheme="minorEastAsia"/>
                <w:sz w:val="24"/>
              </w:rPr>
            </w:pPr>
            <w:r>
              <w:rPr>
                <w:rFonts w:hint="eastAsia" w:cs="宋体" w:asciiTheme="minorEastAsia" w:hAnsiTheme="minorEastAsia"/>
                <w:sz w:val="24"/>
              </w:rPr>
              <w:t xml:space="preserve"> </w:t>
            </w:r>
          </w:p>
        </w:tc>
        <w:tc>
          <w:tcPr>
            <w:tcW w:w="1793" w:type="dxa"/>
          </w:tcPr>
          <w:p w14:paraId="33EC5CE5">
            <w:pPr>
              <w:rPr>
                <w:rFonts w:cs="宋体" w:asciiTheme="minorEastAsia" w:hAnsiTheme="minorEastAsia"/>
                <w:sz w:val="24"/>
              </w:rPr>
            </w:pPr>
            <w:r>
              <w:rPr>
                <w:rFonts w:hint="eastAsia" w:cs="宋体" w:asciiTheme="minorEastAsia" w:hAnsiTheme="minorEastAsia"/>
                <w:sz w:val="24"/>
              </w:rPr>
              <w:t>账  号：</w:t>
            </w:r>
          </w:p>
        </w:tc>
        <w:tc>
          <w:tcPr>
            <w:tcW w:w="2882" w:type="dxa"/>
          </w:tcPr>
          <w:p w14:paraId="0DB4983C">
            <w:pPr>
              <w:rPr>
                <w:rFonts w:cs="宋体" w:asciiTheme="minorEastAsia" w:hAnsiTheme="minorEastAsia"/>
                <w:sz w:val="24"/>
              </w:rPr>
            </w:pPr>
          </w:p>
        </w:tc>
      </w:tr>
    </w:tbl>
    <w:p w14:paraId="277EA868">
      <w:pPr>
        <w:pageBreakBefore/>
        <w:spacing w:line="420" w:lineRule="exact"/>
        <w:jc w:val="center"/>
        <w:rPr>
          <w:rFonts w:cs="宋体" w:asciiTheme="minorEastAsia" w:hAnsiTheme="minorEastAsia"/>
          <w:b/>
          <w:sz w:val="24"/>
        </w:rPr>
      </w:pPr>
      <w:r>
        <w:rPr>
          <w:rFonts w:hint="eastAsia" w:cs="宋体" w:asciiTheme="minorEastAsia" w:hAnsiTheme="minorEastAsia"/>
          <w:b/>
          <w:sz w:val="24"/>
        </w:rPr>
        <w:t>第二部分  通用条件</w:t>
      </w:r>
    </w:p>
    <w:p w14:paraId="410F7200">
      <w:pPr>
        <w:spacing w:line="420" w:lineRule="exact"/>
        <w:rPr>
          <w:rFonts w:cs="宋体" w:asciiTheme="minorEastAsia" w:hAnsiTheme="minorEastAsia"/>
          <w:b/>
          <w:sz w:val="24"/>
        </w:rPr>
      </w:pPr>
      <w:r>
        <w:rPr>
          <w:rFonts w:hint="eastAsia" w:cs="宋体" w:asciiTheme="minorEastAsia" w:hAnsiTheme="minorEastAsia"/>
          <w:b/>
          <w:sz w:val="24"/>
        </w:rPr>
        <w:t>1. 定义与解释</w:t>
      </w:r>
    </w:p>
    <w:p w14:paraId="08954A23">
      <w:pPr>
        <w:spacing w:line="420" w:lineRule="exact"/>
        <w:ind w:left="210" w:leftChars="100"/>
        <w:rPr>
          <w:rFonts w:cs="宋体" w:asciiTheme="minorEastAsia" w:hAnsiTheme="minorEastAsia"/>
          <w:bCs/>
          <w:sz w:val="24"/>
        </w:rPr>
      </w:pPr>
      <w:r>
        <w:rPr>
          <w:rFonts w:hint="eastAsia" w:cs="宋体" w:asciiTheme="minorEastAsia" w:hAnsiTheme="minorEastAsia"/>
          <w:sz w:val="24"/>
        </w:rPr>
        <w:t xml:space="preserve">1.1 </w:t>
      </w:r>
      <w:r>
        <w:rPr>
          <w:rFonts w:hint="eastAsia" w:cs="宋体" w:asciiTheme="minorEastAsia" w:hAnsiTheme="minorEastAsia"/>
          <w:bCs/>
          <w:sz w:val="24"/>
        </w:rPr>
        <w:t>定义</w:t>
      </w:r>
    </w:p>
    <w:p w14:paraId="6249D5EA">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除根据上下文另有其意义外，组成本合同的全部文件中的下列名词和用语应具有本款所赋予的含义：</w:t>
      </w:r>
    </w:p>
    <w:p w14:paraId="45A04A80">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1.1.1 “工程”是指按照本合同约定实施监理与相关服务的建设工程。</w:t>
      </w:r>
    </w:p>
    <w:p w14:paraId="3156D7D5">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1.1.2 “委托人”是指本合同中委托监理与相关服务的一方，及其合法的继承人或受让人。</w:t>
      </w:r>
    </w:p>
    <w:p w14:paraId="6BA2DD38">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1.1.3 “监理人”是指本合同中提供监理与相关服务的一方，及其合法的继承人。</w:t>
      </w:r>
    </w:p>
    <w:p w14:paraId="620D9B30">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1.1.4 “承包人”是指在工程范围内与委托人签订勘察、设计、施工等有关合同的当事人，及其合法的继承人。</w:t>
      </w:r>
    </w:p>
    <w:p w14:paraId="3F07655E">
      <w:pPr>
        <w:spacing w:line="420" w:lineRule="exact"/>
        <w:ind w:firstLine="570"/>
        <w:rPr>
          <w:rFonts w:cs="宋体" w:asciiTheme="minorEastAsia" w:hAnsiTheme="minorEastAsia"/>
          <w:sz w:val="24"/>
        </w:rPr>
      </w:pPr>
      <w:r>
        <w:rPr>
          <w:rFonts w:hint="eastAsia" w:cs="宋体" w:asciiTheme="minorEastAsia" w:hAnsiTheme="minorEastAsia"/>
          <w:sz w:val="24"/>
        </w:rPr>
        <w:t>1.1.5 “监理”是指监理人受委托人的委托 ，依照法律法规、工程建设标准、勘察设计文件及合同，在施工阶段对建设工程质量、进度、造价进行控制，对合同、信息进行管理，对工程建设相关方的关系进行协调，并履行建设工程安全生产管理法定职责的服务活动。</w:t>
      </w:r>
    </w:p>
    <w:p w14:paraId="19C89454">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1.1.6 “相关服务”是指监理人受委托人的委托 ，按照本合同约定，在勘察、设计、保修等阶段提供的服务活动。</w:t>
      </w:r>
    </w:p>
    <w:p w14:paraId="3EEF1170">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1.1.7 “正常工作”指本合同订立时通用条件和专用条件中约定的监理人的工作。</w:t>
      </w:r>
    </w:p>
    <w:p w14:paraId="747CD4FE">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1.1.8 “附加工作”是指本合同约定的正常工作以外监理人的工作。</w:t>
      </w:r>
    </w:p>
    <w:p w14:paraId="74041645">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1.1.9 “项目监理机构”是指监理人派驻工程负责履行本合同的组织机构。</w:t>
      </w:r>
    </w:p>
    <w:p w14:paraId="5BD75AF6">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1.1.10 “总监理工程师”是指由监理人的法定代表人书面授权，全面负责履行本合同、主持项目监理机构工作的注册监理工程师。</w:t>
      </w:r>
    </w:p>
    <w:p w14:paraId="6FC97FFB">
      <w:pPr>
        <w:adjustRightInd w:val="0"/>
        <w:snapToGrid w:val="0"/>
        <w:spacing w:line="420" w:lineRule="exact"/>
        <w:ind w:firstLine="475" w:firstLineChars="198"/>
        <w:rPr>
          <w:rFonts w:cs="宋体" w:asciiTheme="minorEastAsia" w:hAnsiTheme="minorEastAsia"/>
          <w:sz w:val="24"/>
        </w:rPr>
      </w:pPr>
      <w:r>
        <w:rPr>
          <w:rFonts w:hint="eastAsia" w:cs="宋体" w:asciiTheme="minorEastAsia" w:hAnsiTheme="minorEastAsia"/>
          <w:sz w:val="24"/>
        </w:rPr>
        <w:t>1.1.11 “酬金”是指监理人履行本合同义务，委托人按照本合同约定给付监理人的金额。</w:t>
      </w:r>
    </w:p>
    <w:p w14:paraId="203FC09D">
      <w:pPr>
        <w:adjustRightInd w:val="0"/>
        <w:snapToGrid w:val="0"/>
        <w:spacing w:line="420" w:lineRule="exact"/>
        <w:ind w:firstLine="475" w:firstLineChars="198"/>
        <w:rPr>
          <w:rFonts w:cs="宋体" w:asciiTheme="minorEastAsia" w:hAnsiTheme="minorEastAsia"/>
          <w:sz w:val="24"/>
        </w:rPr>
      </w:pPr>
      <w:r>
        <w:rPr>
          <w:rFonts w:hint="eastAsia" w:cs="宋体" w:asciiTheme="minorEastAsia" w:hAnsiTheme="minorEastAsia"/>
          <w:sz w:val="24"/>
        </w:rPr>
        <w:t>1.1.12 “正常工作</w:t>
      </w:r>
      <w:r>
        <w:rPr>
          <w:rFonts w:hint="eastAsia" w:cs="宋体" w:asciiTheme="minorEastAsia" w:hAnsiTheme="minorEastAsia"/>
          <w:kern w:val="0"/>
          <w:sz w:val="24"/>
        </w:rPr>
        <w:t>酬金”</w:t>
      </w:r>
      <w:r>
        <w:rPr>
          <w:rFonts w:hint="eastAsia" w:cs="宋体" w:asciiTheme="minorEastAsia" w:hAnsiTheme="minorEastAsia"/>
          <w:sz w:val="24"/>
        </w:rPr>
        <w:t>是指监理人完成正常工作，委托人应给付监理人并在协议书中载明的签约</w:t>
      </w:r>
      <w:r>
        <w:rPr>
          <w:rFonts w:hint="eastAsia" w:cs="宋体" w:asciiTheme="minorEastAsia" w:hAnsiTheme="minorEastAsia"/>
          <w:kern w:val="0"/>
          <w:sz w:val="24"/>
        </w:rPr>
        <w:t>酬金额</w:t>
      </w:r>
      <w:r>
        <w:rPr>
          <w:rFonts w:hint="eastAsia" w:cs="宋体" w:asciiTheme="minorEastAsia" w:hAnsiTheme="minorEastAsia"/>
          <w:sz w:val="24"/>
        </w:rPr>
        <w:t>。</w:t>
      </w:r>
    </w:p>
    <w:p w14:paraId="48CD0766">
      <w:pPr>
        <w:adjustRightInd w:val="0"/>
        <w:snapToGrid w:val="0"/>
        <w:spacing w:line="420" w:lineRule="exact"/>
        <w:ind w:firstLine="475" w:firstLineChars="198"/>
        <w:rPr>
          <w:rFonts w:cs="宋体" w:asciiTheme="minorEastAsia" w:hAnsiTheme="minorEastAsia"/>
          <w:sz w:val="24"/>
        </w:rPr>
      </w:pPr>
      <w:r>
        <w:rPr>
          <w:rFonts w:hint="eastAsia" w:cs="宋体" w:asciiTheme="minorEastAsia" w:hAnsiTheme="minorEastAsia"/>
          <w:sz w:val="24"/>
        </w:rPr>
        <w:t>1.1.13 “附加工作酬金”是指监理人完成附加工作，委托人应给付监理人的金额。</w:t>
      </w:r>
    </w:p>
    <w:p w14:paraId="7CA1AF04">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1.1.14 “一方”是指委托人或监理人；“双方”是指委托人和监理人；“第双方”是指除委托人和监理人以外的有关方。</w:t>
      </w:r>
    </w:p>
    <w:p w14:paraId="61C419EC">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1.1.15 “书面形式”是指合同书、信件和数据电文（包括电报、电传、传真、电子数据交换和电子邮件）等可以有形地表现所载内容的形式。</w:t>
      </w:r>
    </w:p>
    <w:p w14:paraId="3B235B1C">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1.1.16 “天”是指第一天零时至第二天零时的时间。</w:t>
      </w:r>
    </w:p>
    <w:p w14:paraId="566B1BFC">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1.1.17“月”是指按公历从一个月中任何一天开始的一个公历月时间。</w:t>
      </w:r>
    </w:p>
    <w:p w14:paraId="661D7214">
      <w:pPr>
        <w:adjustRightInd w:val="0"/>
        <w:snapToGrid w:val="0"/>
        <w:spacing w:line="420" w:lineRule="exact"/>
        <w:ind w:firstLine="645"/>
        <w:rPr>
          <w:rFonts w:cs="宋体" w:asciiTheme="minorEastAsia" w:hAnsiTheme="minorEastAsia"/>
          <w:sz w:val="24"/>
        </w:rPr>
      </w:pPr>
      <w:r>
        <w:rPr>
          <w:rFonts w:hint="eastAsia" w:cs="宋体" w:asciiTheme="minorEastAsia" w:hAnsiTheme="minorEastAsia"/>
          <w:sz w:val="24"/>
        </w:rPr>
        <w:t>1.1.18 “不可抗力”是指委托人和监理人在订立本合同时不可预见，在工程施工过程中不可避免发生并不能克服的自然灾害和社会性突发事件，如地震、海啸、瘟疫、水灾、骚乱、暴动、战争和专用条件约定的其他情形。</w:t>
      </w:r>
    </w:p>
    <w:p w14:paraId="12AE59D0">
      <w:pPr>
        <w:adjustRightInd w:val="0"/>
        <w:snapToGrid w:val="0"/>
        <w:spacing w:line="420" w:lineRule="exact"/>
        <w:ind w:left="210" w:leftChars="100"/>
        <w:rPr>
          <w:rFonts w:cs="宋体" w:asciiTheme="minorEastAsia" w:hAnsiTheme="minorEastAsia"/>
          <w:sz w:val="24"/>
        </w:rPr>
      </w:pPr>
      <w:r>
        <w:rPr>
          <w:rFonts w:hint="eastAsia" w:cs="宋体" w:asciiTheme="minorEastAsia" w:hAnsiTheme="minorEastAsia"/>
          <w:bCs/>
          <w:sz w:val="24"/>
        </w:rPr>
        <w:t xml:space="preserve">1.2 </w:t>
      </w:r>
      <w:r>
        <w:rPr>
          <w:rFonts w:hint="eastAsia" w:cs="宋体" w:asciiTheme="minorEastAsia" w:hAnsiTheme="minorEastAsia"/>
          <w:sz w:val="24"/>
        </w:rPr>
        <w:t>解释</w:t>
      </w:r>
    </w:p>
    <w:p w14:paraId="45B82D4B">
      <w:pPr>
        <w:tabs>
          <w:tab w:val="left" w:pos="6140"/>
        </w:tabs>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1.2.1本合同使用中文书写、解释和说明。如专用条件约定使用两种及以上语言文字时，应以中文为准。</w:t>
      </w:r>
    </w:p>
    <w:p w14:paraId="45AE80F2">
      <w:pPr>
        <w:tabs>
          <w:tab w:val="left" w:pos="6140"/>
        </w:tabs>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1.2.2 组成本合同的下列文件彼此应能相互解释、互为说明。除专用条件另有约定外，本合同文件的解释顺序如下：</w:t>
      </w:r>
    </w:p>
    <w:p w14:paraId="52959091">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（1）协议书；</w:t>
      </w:r>
    </w:p>
    <w:p w14:paraId="4ED7DD8C">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（2）中标通知书（适用于招标工程）或委托书（适用于非招标工程）；</w:t>
      </w:r>
    </w:p>
    <w:p w14:paraId="4A5B19A7">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（3）专用条件及附录A、附录B；</w:t>
      </w:r>
    </w:p>
    <w:p w14:paraId="23F3F4AF">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（4）通用条件；</w:t>
      </w:r>
    </w:p>
    <w:p w14:paraId="60FEAF52">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（5）投标文件（适用于招标工程）或监理与相关服务建议书（适用于非招标工程）。</w:t>
      </w:r>
    </w:p>
    <w:p w14:paraId="2598BD26">
      <w:pPr>
        <w:spacing w:line="420" w:lineRule="exact"/>
        <w:ind w:firstLine="480" w:firstLineChars="200"/>
        <w:rPr>
          <w:rFonts w:cs="宋体" w:asciiTheme="minorEastAsia" w:hAnsiTheme="minorEastAsia"/>
          <w:sz w:val="24"/>
        </w:rPr>
      </w:pPr>
      <w:r>
        <w:rPr>
          <w:rFonts w:hint="eastAsia" w:cs="宋体" w:asciiTheme="minorEastAsia" w:hAnsiTheme="minorEastAsia"/>
          <w:sz w:val="24"/>
        </w:rPr>
        <w:t>双方签订的补充协议与其他文件发生矛盾或歧义时，属于同一类内容的文件，应以最新签署的为准。</w:t>
      </w:r>
    </w:p>
    <w:p w14:paraId="6F9D24E8">
      <w:pPr>
        <w:spacing w:line="420" w:lineRule="exact"/>
        <w:rPr>
          <w:rFonts w:cs="宋体" w:asciiTheme="minorEastAsia" w:hAnsiTheme="minorEastAsia"/>
          <w:b/>
          <w:sz w:val="24"/>
        </w:rPr>
      </w:pPr>
      <w:r>
        <w:rPr>
          <w:rFonts w:hint="eastAsia" w:cs="宋体" w:asciiTheme="minorEastAsia" w:hAnsiTheme="minorEastAsia"/>
          <w:b/>
          <w:sz w:val="24"/>
        </w:rPr>
        <w:t>2. 监理人的义务</w:t>
      </w:r>
    </w:p>
    <w:p w14:paraId="7A9DCAC5">
      <w:pPr>
        <w:adjustRightInd w:val="0"/>
        <w:snapToGrid w:val="0"/>
        <w:spacing w:line="420" w:lineRule="exact"/>
        <w:ind w:left="210" w:leftChars="100"/>
        <w:rPr>
          <w:rFonts w:cs="宋体" w:asciiTheme="minorEastAsia" w:hAnsiTheme="minorEastAsia"/>
          <w:bCs/>
          <w:sz w:val="24"/>
        </w:rPr>
      </w:pPr>
      <w:r>
        <w:rPr>
          <w:rFonts w:hint="eastAsia" w:cs="宋体" w:asciiTheme="minorEastAsia" w:hAnsiTheme="minorEastAsia"/>
          <w:sz w:val="24"/>
        </w:rPr>
        <w:t>2.1 监理的范围和工作内容</w:t>
      </w:r>
    </w:p>
    <w:p w14:paraId="1278D663">
      <w:pPr>
        <w:adjustRightInd w:val="0"/>
        <w:snapToGrid w:val="0"/>
        <w:spacing w:line="420" w:lineRule="exact"/>
        <w:ind w:left="420" w:leftChars="200"/>
        <w:rPr>
          <w:rFonts w:cs="宋体" w:asciiTheme="minorEastAsia" w:hAnsiTheme="minorEastAsia"/>
          <w:sz w:val="24"/>
        </w:rPr>
      </w:pPr>
      <w:r>
        <w:rPr>
          <w:rFonts w:hint="eastAsia" w:cs="宋体" w:asciiTheme="minorEastAsia" w:hAnsiTheme="minorEastAsia"/>
          <w:sz w:val="24"/>
        </w:rPr>
        <w:t>2.1.1 监理范围在专用条件中约定。</w:t>
      </w:r>
    </w:p>
    <w:p w14:paraId="40C56051">
      <w:pPr>
        <w:adjustRightInd w:val="0"/>
        <w:snapToGrid w:val="0"/>
        <w:spacing w:line="420" w:lineRule="exact"/>
        <w:ind w:left="420" w:leftChars="200"/>
        <w:rPr>
          <w:rFonts w:cs="宋体" w:asciiTheme="minorEastAsia" w:hAnsiTheme="minorEastAsia"/>
          <w:sz w:val="24"/>
        </w:rPr>
      </w:pPr>
      <w:r>
        <w:rPr>
          <w:rFonts w:hint="eastAsia" w:cs="宋体" w:asciiTheme="minorEastAsia" w:hAnsiTheme="minorEastAsia"/>
          <w:sz w:val="24"/>
        </w:rPr>
        <w:t>2.1.2 除专用条件另有约定外，监理工作内容包括：</w:t>
      </w:r>
    </w:p>
    <w:p w14:paraId="6F0CE0C9">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（1）收到工程设计文件后编制监理规划，并在第一次工地会议7天前报委托人。根据有关规定和监理工作需要，编制监理实施细则；</w:t>
      </w:r>
    </w:p>
    <w:p w14:paraId="5C18654C">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（2）熟悉工程设计文件，并参加由委托人主持的图纸会审和设计交底会议；</w:t>
      </w:r>
    </w:p>
    <w:p w14:paraId="2EF2EC34">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（3）参加由委托人主持的第一次工地会议；主持监理例会并根据工程需要主持或参加专题会议；</w:t>
      </w:r>
    </w:p>
    <w:p w14:paraId="385C4754">
      <w:pPr>
        <w:adjustRightInd w:val="0"/>
        <w:snapToGrid w:val="0"/>
        <w:spacing w:line="420" w:lineRule="exact"/>
        <w:rPr>
          <w:rFonts w:cs="宋体" w:asciiTheme="minorEastAsia" w:hAnsiTheme="minorEastAsia"/>
          <w:sz w:val="24"/>
        </w:rPr>
      </w:pPr>
      <w:r>
        <w:rPr>
          <w:rFonts w:hint="eastAsia" w:cs="宋体" w:asciiTheme="minorEastAsia" w:hAnsiTheme="minorEastAsia"/>
          <w:sz w:val="24"/>
        </w:rPr>
        <w:t xml:space="preserve">    （4）审查施工承包人提交的施工组织设计，重点审查其中的质量安全技术措施、专项施工方案与工程建设强制性标准的符合性；</w:t>
      </w:r>
    </w:p>
    <w:p w14:paraId="47294372">
      <w:pPr>
        <w:adjustRightInd w:val="0"/>
        <w:snapToGrid w:val="0"/>
        <w:spacing w:line="420" w:lineRule="exact"/>
        <w:ind w:firstLine="645"/>
        <w:rPr>
          <w:rFonts w:cs="宋体" w:asciiTheme="minorEastAsia" w:hAnsiTheme="minorEastAsia"/>
          <w:sz w:val="24"/>
        </w:rPr>
      </w:pPr>
      <w:r>
        <w:rPr>
          <w:rFonts w:hint="eastAsia" w:cs="宋体" w:asciiTheme="minorEastAsia" w:hAnsiTheme="minorEastAsia"/>
          <w:sz w:val="24"/>
        </w:rPr>
        <w:t xml:space="preserve">（5）检查施工承包人工程质量、安全生产管理制度及组织机构和人员资格； </w:t>
      </w:r>
    </w:p>
    <w:p w14:paraId="150D55C4">
      <w:pPr>
        <w:adjustRightInd w:val="0"/>
        <w:snapToGrid w:val="0"/>
        <w:spacing w:line="420" w:lineRule="exact"/>
        <w:rPr>
          <w:rFonts w:cs="宋体" w:asciiTheme="minorEastAsia" w:hAnsiTheme="minorEastAsia"/>
          <w:sz w:val="24"/>
        </w:rPr>
      </w:pPr>
      <w:r>
        <w:rPr>
          <w:rFonts w:hint="eastAsia" w:cs="宋体" w:asciiTheme="minorEastAsia" w:hAnsiTheme="minorEastAsia"/>
          <w:sz w:val="24"/>
        </w:rPr>
        <w:t xml:space="preserve">    （6）检查施工承包人专职安全生产管理人员的配备情况；</w:t>
      </w:r>
    </w:p>
    <w:p w14:paraId="3BA00284">
      <w:pPr>
        <w:adjustRightInd w:val="0"/>
        <w:snapToGrid w:val="0"/>
        <w:spacing w:line="420" w:lineRule="exact"/>
        <w:rPr>
          <w:rFonts w:cs="宋体" w:asciiTheme="minorEastAsia" w:hAnsiTheme="minorEastAsia"/>
          <w:sz w:val="24"/>
        </w:rPr>
      </w:pPr>
      <w:r>
        <w:rPr>
          <w:rFonts w:hint="eastAsia" w:cs="宋体" w:asciiTheme="minorEastAsia" w:hAnsiTheme="minorEastAsia"/>
          <w:sz w:val="24"/>
        </w:rPr>
        <w:t xml:space="preserve">    （7）审查施工承包人提交的施工进度计划，核查承包人对施工进度计划的调整；</w:t>
      </w:r>
    </w:p>
    <w:p w14:paraId="048D5248">
      <w:pPr>
        <w:adjustRightInd w:val="0"/>
        <w:snapToGrid w:val="0"/>
        <w:spacing w:line="420" w:lineRule="exact"/>
        <w:ind w:firstLine="645"/>
        <w:rPr>
          <w:rFonts w:cs="宋体" w:asciiTheme="minorEastAsia" w:hAnsiTheme="minorEastAsia"/>
          <w:sz w:val="24"/>
        </w:rPr>
      </w:pPr>
      <w:r>
        <w:rPr>
          <w:rFonts w:hint="eastAsia" w:cs="宋体" w:asciiTheme="minorEastAsia" w:hAnsiTheme="minorEastAsia"/>
          <w:sz w:val="24"/>
        </w:rPr>
        <w:t>（8）检查施工承包人的试验室；</w:t>
      </w:r>
    </w:p>
    <w:p w14:paraId="3C9A3CD8">
      <w:pPr>
        <w:adjustRightInd w:val="0"/>
        <w:snapToGrid w:val="0"/>
        <w:spacing w:line="420" w:lineRule="exact"/>
        <w:rPr>
          <w:rFonts w:cs="宋体" w:asciiTheme="minorEastAsia" w:hAnsiTheme="minorEastAsia"/>
          <w:sz w:val="24"/>
        </w:rPr>
      </w:pPr>
      <w:r>
        <w:rPr>
          <w:rFonts w:hint="eastAsia" w:cs="宋体" w:asciiTheme="minorEastAsia" w:hAnsiTheme="minorEastAsia"/>
          <w:sz w:val="24"/>
        </w:rPr>
        <w:t xml:space="preserve">    （9）审核施工分包人资质条件；</w:t>
      </w:r>
    </w:p>
    <w:p w14:paraId="041CF626">
      <w:pPr>
        <w:spacing w:line="420" w:lineRule="exact"/>
        <w:rPr>
          <w:rFonts w:cs="宋体" w:asciiTheme="minorEastAsia" w:hAnsiTheme="minorEastAsia"/>
          <w:sz w:val="24"/>
        </w:rPr>
      </w:pPr>
      <w:r>
        <w:rPr>
          <w:rFonts w:hint="eastAsia" w:cs="宋体" w:asciiTheme="minorEastAsia" w:hAnsiTheme="minorEastAsia"/>
          <w:sz w:val="24"/>
        </w:rPr>
        <w:t xml:space="preserve">    （10）查验施工承包人的施工测量放线成果；</w:t>
      </w:r>
    </w:p>
    <w:p w14:paraId="661BD4D0">
      <w:pPr>
        <w:adjustRightInd w:val="0"/>
        <w:snapToGrid w:val="0"/>
        <w:spacing w:line="420" w:lineRule="exact"/>
        <w:ind w:firstLine="645"/>
        <w:rPr>
          <w:rFonts w:cs="宋体" w:asciiTheme="minorEastAsia" w:hAnsiTheme="minorEastAsia"/>
          <w:sz w:val="24"/>
        </w:rPr>
      </w:pPr>
      <w:r>
        <w:rPr>
          <w:rFonts w:hint="eastAsia" w:cs="宋体" w:asciiTheme="minorEastAsia" w:hAnsiTheme="minorEastAsia"/>
          <w:sz w:val="24"/>
        </w:rPr>
        <w:t>（11）审查工程开工条件，对条件具备的签发开工令；</w:t>
      </w:r>
    </w:p>
    <w:p w14:paraId="54C01491">
      <w:pPr>
        <w:adjustRightInd w:val="0"/>
        <w:snapToGrid w:val="0"/>
        <w:spacing w:line="420" w:lineRule="exact"/>
        <w:ind w:firstLine="645"/>
        <w:rPr>
          <w:rFonts w:cs="宋体" w:asciiTheme="minorEastAsia" w:hAnsiTheme="minorEastAsia"/>
          <w:sz w:val="24"/>
        </w:rPr>
      </w:pPr>
      <w:r>
        <w:rPr>
          <w:rFonts w:hint="eastAsia" w:cs="宋体" w:asciiTheme="minorEastAsia" w:hAnsiTheme="minorEastAsia"/>
          <w:sz w:val="24"/>
        </w:rPr>
        <w:t>（12）审查施工承包人报送的工程材料、构配件、设备质量证明文件的有效性和符合性，并按规定对用于工程的材料采取平行检验或见证取样方式进行抽检；</w:t>
      </w:r>
    </w:p>
    <w:p w14:paraId="67E1D2D1">
      <w:pPr>
        <w:adjustRightInd w:val="0"/>
        <w:snapToGrid w:val="0"/>
        <w:spacing w:line="420" w:lineRule="exact"/>
        <w:ind w:left="-97" w:leftChars="-46"/>
        <w:rPr>
          <w:rFonts w:cs="宋体" w:asciiTheme="minorEastAsia" w:hAnsiTheme="minorEastAsia"/>
          <w:sz w:val="24"/>
        </w:rPr>
      </w:pPr>
      <w:r>
        <w:rPr>
          <w:rFonts w:hint="eastAsia" w:cs="宋体" w:asciiTheme="minorEastAsia" w:hAnsiTheme="minorEastAsia"/>
          <w:sz w:val="24"/>
        </w:rPr>
        <w:t xml:space="preserve">     （13）审核施工承包人提交的工程款支付申请，签发或出具工程款支付证书，并报委托人审核、批准；</w:t>
      </w:r>
    </w:p>
    <w:p w14:paraId="5D619B74">
      <w:pPr>
        <w:adjustRightInd w:val="0"/>
        <w:snapToGrid w:val="0"/>
        <w:spacing w:line="420" w:lineRule="exact"/>
        <w:ind w:firstLine="645"/>
        <w:rPr>
          <w:rFonts w:cs="宋体" w:asciiTheme="minorEastAsia" w:hAnsiTheme="minorEastAsia"/>
          <w:sz w:val="24"/>
        </w:rPr>
      </w:pPr>
      <w:r>
        <w:rPr>
          <w:rFonts w:hint="eastAsia" w:cs="宋体" w:asciiTheme="minorEastAsia" w:hAnsiTheme="minorEastAsia"/>
          <w:sz w:val="24"/>
        </w:rPr>
        <w:t>（14）在巡视、旁站和检验过程中，发现工程质量、施工安全存在事故隐患的，要求施工承包人整改并报委托人；</w:t>
      </w:r>
    </w:p>
    <w:p w14:paraId="049590D4">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（15）经委托人同意，签发工程暂停令和复工令；</w:t>
      </w:r>
    </w:p>
    <w:p w14:paraId="78E1C6C4">
      <w:pPr>
        <w:adjustRightInd w:val="0"/>
        <w:snapToGrid w:val="0"/>
        <w:spacing w:line="420" w:lineRule="exact"/>
        <w:rPr>
          <w:rFonts w:cs="宋体" w:asciiTheme="minorEastAsia" w:hAnsiTheme="minorEastAsia"/>
          <w:sz w:val="24"/>
        </w:rPr>
      </w:pPr>
      <w:r>
        <w:rPr>
          <w:rFonts w:hint="eastAsia" w:cs="宋体" w:asciiTheme="minorEastAsia" w:hAnsiTheme="minorEastAsia"/>
          <w:sz w:val="24"/>
        </w:rPr>
        <w:t xml:space="preserve">    （16）审查施工承包人提交的采用新材料、新工艺、新技术、新设备的论证材料及相关验收标准；</w:t>
      </w:r>
    </w:p>
    <w:p w14:paraId="08933E6C">
      <w:pPr>
        <w:adjustRightInd w:val="0"/>
        <w:snapToGrid w:val="0"/>
        <w:spacing w:line="420" w:lineRule="exact"/>
        <w:ind w:firstLine="660"/>
        <w:rPr>
          <w:rFonts w:cs="宋体" w:asciiTheme="minorEastAsia" w:hAnsiTheme="minorEastAsia"/>
          <w:sz w:val="24"/>
        </w:rPr>
      </w:pPr>
      <w:r>
        <w:rPr>
          <w:rFonts w:hint="eastAsia" w:cs="宋体" w:asciiTheme="minorEastAsia" w:hAnsiTheme="minorEastAsia"/>
          <w:sz w:val="24"/>
        </w:rPr>
        <w:t>（17）验收隐蔽工程、分部分项工程；</w:t>
      </w:r>
    </w:p>
    <w:p w14:paraId="13CE7A65">
      <w:pPr>
        <w:adjustRightInd w:val="0"/>
        <w:snapToGrid w:val="0"/>
        <w:spacing w:line="420" w:lineRule="exact"/>
        <w:rPr>
          <w:rFonts w:cs="宋体" w:asciiTheme="minorEastAsia" w:hAnsiTheme="minorEastAsia"/>
          <w:sz w:val="24"/>
        </w:rPr>
      </w:pPr>
      <w:r>
        <w:rPr>
          <w:rFonts w:hint="eastAsia" w:cs="宋体" w:asciiTheme="minorEastAsia" w:hAnsiTheme="minorEastAsia"/>
          <w:sz w:val="24"/>
        </w:rPr>
        <w:t xml:space="preserve">    （18）审查施工承包人提交的工程变更申请，协调处理施工进度调整、费用索赔、合同争议等事项；</w:t>
      </w:r>
    </w:p>
    <w:p w14:paraId="733A4144">
      <w:pPr>
        <w:adjustRightInd w:val="0"/>
        <w:snapToGrid w:val="0"/>
        <w:spacing w:line="420" w:lineRule="exact"/>
        <w:ind w:firstLine="645"/>
        <w:rPr>
          <w:rFonts w:cs="宋体" w:asciiTheme="minorEastAsia" w:hAnsiTheme="minorEastAsia"/>
          <w:sz w:val="24"/>
        </w:rPr>
      </w:pPr>
      <w:r>
        <w:rPr>
          <w:rFonts w:hint="eastAsia" w:cs="宋体" w:asciiTheme="minorEastAsia" w:hAnsiTheme="minorEastAsia"/>
          <w:sz w:val="24"/>
        </w:rPr>
        <w:t>（19）审查施工承包人提交的竣工验收申请，编写工程质量评估报告；</w:t>
      </w:r>
    </w:p>
    <w:p w14:paraId="1CE6BFF9">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（20）参加工程竣工验收，签署竣工验收意见；</w:t>
      </w:r>
    </w:p>
    <w:p w14:paraId="5B5F6715">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（21）审查施工承包人提交的竣工结算申请并报委托人；</w:t>
      </w:r>
    </w:p>
    <w:p w14:paraId="7602703C">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（22）编制、整理工程监理归档文件并报委托人。</w:t>
      </w:r>
    </w:p>
    <w:p w14:paraId="5698A54E">
      <w:pPr>
        <w:spacing w:line="420" w:lineRule="exact"/>
        <w:ind w:left="420" w:leftChars="200" w:firstLine="120" w:firstLineChars="50"/>
        <w:rPr>
          <w:rFonts w:cs="宋体" w:asciiTheme="minorEastAsia" w:hAnsiTheme="minorEastAsia"/>
          <w:sz w:val="24"/>
        </w:rPr>
      </w:pPr>
      <w:r>
        <w:rPr>
          <w:rFonts w:hint="eastAsia" w:cs="宋体" w:asciiTheme="minorEastAsia" w:hAnsiTheme="minorEastAsia"/>
          <w:sz w:val="24"/>
        </w:rPr>
        <w:t>2.1.3 相关服务的范围和内容在附录A中约定。</w:t>
      </w:r>
    </w:p>
    <w:p w14:paraId="390A96C0">
      <w:pPr>
        <w:spacing w:line="420" w:lineRule="exact"/>
        <w:ind w:firstLine="240" w:firstLineChars="100"/>
        <w:rPr>
          <w:rFonts w:cs="宋体" w:asciiTheme="minorEastAsia" w:hAnsiTheme="minorEastAsia"/>
          <w:bCs/>
          <w:sz w:val="24"/>
        </w:rPr>
      </w:pPr>
      <w:r>
        <w:rPr>
          <w:rFonts w:hint="eastAsia" w:cs="宋体" w:asciiTheme="minorEastAsia" w:hAnsiTheme="minorEastAsia"/>
          <w:sz w:val="24"/>
        </w:rPr>
        <w:t xml:space="preserve">2.2 </w:t>
      </w:r>
      <w:r>
        <w:rPr>
          <w:rFonts w:hint="eastAsia" w:cs="宋体" w:asciiTheme="minorEastAsia" w:hAnsiTheme="minorEastAsia"/>
          <w:bCs/>
          <w:sz w:val="24"/>
        </w:rPr>
        <w:t>监理与相关服务依据</w:t>
      </w:r>
    </w:p>
    <w:p w14:paraId="66460F6D">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2.2.1 监理依据包括：</w:t>
      </w:r>
    </w:p>
    <w:p w14:paraId="28CAB3F9">
      <w:pPr>
        <w:adjustRightInd w:val="0"/>
        <w:snapToGrid w:val="0"/>
        <w:spacing w:line="420" w:lineRule="exact"/>
        <w:ind w:firstLine="600" w:firstLineChars="250"/>
        <w:rPr>
          <w:rFonts w:cs="宋体" w:asciiTheme="minorEastAsia" w:hAnsiTheme="minorEastAsia"/>
          <w:sz w:val="24"/>
        </w:rPr>
      </w:pPr>
      <w:r>
        <w:rPr>
          <w:rFonts w:hint="eastAsia" w:cs="宋体" w:asciiTheme="minorEastAsia" w:hAnsiTheme="minorEastAsia"/>
          <w:sz w:val="24"/>
        </w:rPr>
        <w:t>（1）适用的法律、行政法规及部门规章；</w:t>
      </w:r>
    </w:p>
    <w:p w14:paraId="0367161A">
      <w:pPr>
        <w:adjustRightInd w:val="0"/>
        <w:snapToGrid w:val="0"/>
        <w:spacing w:line="420" w:lineRule="exact"/>
        <w:ind w:firstLine="600" w:firstLineChars="250"/>
        <w:rPr>
          <w:rFonts w:cs="宋体" w:asciiTheme="minorEastAsia" w:hAnsiTheme="minorEastAsia"/>
          <w:sz w:val="24"/>
        </w:rPr>
      </w:pPr>
      <w:r>
        <w:rPr>
          <w:rFonts w:hint="eastAsia" w:cs="宋体" w:asciiTheme="minorEastAsia" w:hAnsiTheme="minorEastAsia"/>
          <w:sz w:val="24"/>
        </w:rPr>
        <w:t>（2）与工程有关的标准；</w:t>
      </w:r>
    </w:p>
    <w:p w14:paraId="24C7913A">
      <w:pPr>
        <w:adjustRightInd w:val="0"/>
        <w:snapToGrid w:val="0"/>
        <w:spacing w:line="420" w:lineRule="exact"/>
        <w:ind w:firstLine="600" w:firstLineChars="250"/>
        <w:rPr>
          <w:rFonts w:cs="宋体" w:asciiTheme="minorEastAsia" w:hAnsiTheme="minorEastAsia"/>
          <w:sz w:val="24"/>
        </w:rPr>
      </w:pPr>
      <w:r>
        <w:rPr>
          <w:rFonts w:hint="eastAsia" w:cs="宋体" w:asciiTheme="minorEastAsia" w:hAnsiTheme="minorEastAsia"/>
          <w:sz w:val="24"/>
        </w:rPr>
        <w:t>（3）工程设计及有关文件；</w:t>
      </w:r>
    </w:p>
    <w:p w14:paraId="171B373D">
      <w:pPr>
        <w:adjustRightInd w:val="0"/>
        <w:snapToGrid w:val="0"/>
        <w:spacing w:line="420" w:lineRule="exact"/>
        <w:ind w:firstLine="600" w:firstLineChars="250"/>
        <w:rPr>
          <w:rFonts w:cs="宋体" w:asciiTheme="minorEastAsia" w:hAnsiTheme="minorEastAsia"/>
          <w:sz w:val="24"/>
        </w:rPr>
      </w:pPr>
      <w:r>
        <w:rPr>
          <w:rFonts w:hint="eastAsia" w:cs="宋体" w:asciiTheme="minorEastAsia" w:hAnsiTheme="minorEastAsia"/>
          <w:sz w:val="24"/>
        </w:rPr>
        <w:t>（4）本合同及委托人与第双方签订的与实施工程有关的其他合同。</w:t>
      </w:r>
    </w:p>
    <w:p w14:paraId="0A22D87C">
      <w:pPr>
        <w:spacing w:line="420" w:lineRule="exact"/>
        <w:ind w:left="210" w:leftChars="100" w:firstLine="480" w:firstLineChars="200"/>
        <w:rPr>
          <w:rFonts w:cs="宋体" w:asciiTheme="minorEastAsia" w:hAnsiTheme="minorEastAsia"/>
          <w:bCs/>
          <w:sz w:val="24"/>
        </w:rPr>
      </w:pPr>
      <w:r>
        <w:rPr>
          <w:rFonts w:hint="eastAsia" w:cs="宋体" w:asciiTheme="minorEastAsia" w:hAnsiTheme="minorEastAsia"/>
          <w:bCs/>
          <w:sz w:val="24"/>
        </w:rPr>
        <w:t>双方根据工程的行业和地域特点，在专用条件中具体约定监理依据。</w:t>
      </w:r>
    </w:p>
    <w:p w14:paraId="75D7BECC">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2.2.2 相关服务依据在专用条件中约定。</w:t>
      </w:r>
    </w:p>
    <w:p w14:paraId="70BF8953">
      <w:pPr>
        <w:spacing w:line="420" w:lineRule="exact"/>
        <w:ind w:firstLine="240" w:firstLineChars="100"/>
        <w:rPr>
          <w:rFonts w:cs="宋体" w:asciiTheme="minorEastAsia" w:hAnsiTheme="minorEastAsia"/>
          <w:kern w:val="0"/>
          <w:sz w:val="24"/>
        </w:rPr>
      </w:pPr>
      <w:r>
        <w:rPr>
          <w:rFonts w:hint="eastAsia" w:cs="宋体" w:asciiTheme="minorEastAsia" w:hAnsiTheme="minorEastAsia"/>
          <w:kern w:val="0"/>
          <w:sz w:val="24"/>
        </w:rPr>
        <w:t>2.3 项目监理机构和人员</w:t>
      </w:r>
    </w:p>
    <w:p w14:paraId="7F0420AC">
      <w:pPr>
        <w:adjustRightInd w:val="0"/>
        <w:snapToGrid w:val="0"/>
        <w:spacing w:line="420" w:lineRule="exact"/>
        <w:ind w:firstLine="645"/>
        <w:rPr>
          <w:rFonts w:cs="宋体" w:asciiTheme="minorEastAsia" w:hAnsiTheme="minorEastAsia"/>
          <w:kern w:val="0"/>
          <w:sz w:val="24"/>
        </w:rPr>
      </w:pPr>
      <w:r>
        <w:rPr>
          <w:rFonts w:hint="eastAsia" w:cs="宋体" w:asciiTheme="minorEastAsia" w:hAnsiTheme="minorEastAsia"/>
          <w:kern w:val="0"/>
          <w:sz w:val="24"/>
        </w:rPr>
        <w:t>2.3.1 监理人应组建满足工作需要的项目监理机构，配备必要的检测设备。项目监理机构的主要人员应具有相应的资格条件。</w:t>
      </w:r>
    </w:p>
    <w:p w14:paraId="5C66597F">
      <w:pPr>
        <w:adjustRightInd w:val="0"/>
        <w:snapToGrid w:val="0"/>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2.3.2本合同履行过程中，总监理工程师及重要岗位监理人员应保持相对稳定，以保证监理工作正常进行。</w:t>
      </w:r>
    </w:p>
    <w:p w14:paraId="5D845672">
      <w:pPr>
        <w:adjustRightInd w:val="0"/>
        <w:snapToGrid w:val="0"/>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2.3.3监理人可根据工程进展和工作需要调整项目监理机构人员。监理人更换总监理工程师时，应提前7天向委托人书面报告，经委托人同意后方可更换；监理人更换项目监理机构其他监理人员，应以相当资格与能力的人员替换，并通知委托人。</w:t>
      </w:r>
    </w:p>
    <w:p w14:paraId="38F5302D">
      <w:pPr>
        <w:adjustRightInd w:val="0"/>
        <w:snapToGrid w:val="0"/>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2.3.4 监理人应及时更换有下列情形之一的监理人员：</w:t>
      </w:r>
    </w:p>
    <w:p w14:paraId="3146033E">
      <w:pPr>
        <w:adjustRightInd w:val="0"/>
        <w:snapToGrid w:val="0"/>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（1）严重过失行为的；</w:t>
      </w:r>
    </w:p>
    <w:p w14:paraId="65F733A5">
      <w:pPr>
        <w:adjustRightInd w:val="0"/>
        <w:snapToGrid w:val="0"/>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（2）有违法行为不能履行职责的；</w:t>
      </w:r>
    </w:p>
    <w:p w14:paraId="57851DC7">
      <w:pPr>
        <w:adjustRightInd w:val="0"/>
        <w:snapToGrid w:val="0"/>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（3）涉嫌犯罪的；</w:t>
      </w:r>
    </w:p>
    <w:p w14:paraId="28D43728">
      <w:pPr>
        <w:adjustRightInd w:val="0"/>
        <w:snapToGrid w:val="0"/>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（4）不能胜任岗位职责的；</w:t>
      </w:r>
    </w:p>
    <w:p w14:paraId="7054C787">
      <w:pPr>
        <w:adjustRightInd w:val="0"/>
        <w:snapToGrid w:val="0"/>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（5）严重违反职业道德的；</w:t>
      </w:r>
    </w:p>
    <w:p w14:paraId="7F77899D">
      <w:pPr>
        <w:adjustRightInd w:val="0"/>
        <w:snapToGrid w:val="0"/>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（6）专用条件约定的其他情形。</w:t>
      </w:r>
    </w:p>
    <w:p w14:paraId="27E74ABE">
      <w:pPr>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2.3.5 委托人可要求监理人更换不能胜任本职工作的项目监理机构人员。</w:t>
      </w:r>
    </w:p>
    <w:p w14:paraId="6F2B147E">
      <w:pPr>
        <w:spacing w:line="420" w:lineRule="exact"/>
        <w:ind w:left="210" w:leftChars="100"/>
        <w:rPr>
          <w:rFonts w:cs="宋体" w:asciiTheme="minorEastAsia" w:hAnsiTheme="minorEastAsia"/>
          <w:kern w:val="0"/>
          <w:sz w:val="24"/>
        </w:rPr>
      </w:pPr>
      <w:r>
        <w:rPr>
          <w:rFonts w:hint="eastAsia" w:cs="宋体" w:asciiTheme="minorEastAsia" w:hAnsiTheme="minorEastAsia"/>
          <w:kern w:val="0"/>
          <w:sz w:val="24"/>
        </w:rPr>
        <w:t>2.4 履行职责</w:t>
      </w:r>
    </w:p>
    <w:p w14:paraId="62BE0BD3">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kern w:val="0"/>
          <w:sz w:val="24"/>
        </w:rPr>
        <w:t>监理人应遵循职业道德准则和行为规范，严格按照法律法规、工程建设有关标准及本合同履行职责。</w:t>
      </w:r>
    </w:p>
    <w:p w14:paraId="2FD886C7">
      <w:pPr>
        <w:adjustRightInd w:val="0"/>
        <w:snapToGrid w:val="0"/>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2.4.1 在监理与相关服务范围内，委托人和承包人提出的意见和要求，监理人应及时提出处置意见。当委托人与承包人之间发生合同争议时，监理人应协助委托人、承包人协商解决。</w:t>
      </w:r>
    </w:p>
    <w:p w14:paraId="20B75411">
      <w:pPr>
        <w:adjustRightInd w:val="0"/>
        <w:snapToGrid w:val="0"/>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2.4.2 当委托人与承包人之间的合同争议提交仲裁机构仲裁或人民法院审理时，监理人应提供必要的证明资料。</w:t>
      </w:r>
    </w:p>
    <w:p w14:paraId="3420C680">
      <w:pPr>
        <w:adjustRightInd w:val="0"/>
        <w:snapToGrid w:val="0"/>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2.4.3 监理人应在专用条件约定的授权范围内，处理委托人与承包人所签订合同的变更事宜。如果变更超过授权范围，应以书面形式报委托人批准。</w:t>
      </w:r>
    </w:p>
    <w:p w14:paraId="686BEA6C">
      <w:pPr>
        <w:adjustRightInd w:val="0"/>
        <w:snapToGrid w:val="0"/>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在紧急情况下，为了保护财产和人身安全，监理人所发出的指令未能事先报委托人批准时，应在发出指令后的24小时内以书面形式报委托人。</w:t>
      </w:r>
    </w:p>
    <w:p w14:paraId="0F0D2DD8">
      <w:pPr>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2.4.4 除专用条件另有约定外，监理人发现承包人的人员不能胜任本职工作的，有权要求承包人予以调换。</w:t>
      </w:r>
    </w:p>
    <w:p w14:paraId="07A46D92">
      <w:pPr>
        <w:spacing w:line="420" w:lineRule="exact"/>
        <w:ind w:left="210" w:leftChars="100"/>
        <w:rPr>
          <w:rFonts w:cs="宋体" w:asciiTheme="minorEastAsia" w:hAnsiTheme="minorEastAsia"/>
          <w:kern w:val="0"/>
          <w:sz w:val="24"/>
        </w:rPr>
      </w:pPr>
      <w:r>
        <w:rPr>
          <w:rFonts w:hint="eastAsia" w:cs="宋体" w:asciiTheme="minorEastAsia" w:hAnsiTheme="minorEastAsia"/>
          <w:kern w:val="0"/>
          <w:sz w:val="24"/>
        </w:rPr>
        <w:t>2.5 提交报告</w:t>
      </w:r>
    </w:p>
    <w:p w14:paraId="4A0C330F">
      <w:pPr>
        <w:spacing w:line="420" w:lineRule="exact"/>
        <w:ind w:firstLine="480" w:firstLineChars="200"/>
        <w:rPr>
          <w:rFonts w:cs="宋体" w:asciiTheme="minorEastAsia" w:hAnsiTheme="minorEastAsia"/>
          <w:sz w:val="24"/>
        </w:rPr>
      </w:pPr>
      <w:r>
        <w:rPr>
          <w:rFonts w:hint="eastAsia" w:cs="宋体" w:asciiTheme="minorEastAsia" w:hAnsiTheme="minorEastAsia"/>
          <w:sz w:val="24"/>
        </w:rPr>
        <w:t>监理人应按专用条件约定的种类、时间和份数向委托人提交监理与相关服务的报告。</w:t>
      </w:r>
    </w:p>
    <w:p w14:paraId="510FA90E">
      <w:pPr>
        <w:spacing w:line="420" w:lineRule="exact"/>
        <w:ind w:left="210" w:leftChars="100"/>
        <w:rPr>
          <w:rFonts w:cs="宋体" w:asciiTheme="minorEastAsia" w:hAnsiTheme="minorEastAsia"/>
          <w:kern w:val="0"/>
          <w:sz w:val="24"/>
        </w:rPr>
      </w:pPr>
      <w:r>
        <w:rPr>
          <w:rFonts w:hint="eastAsia" w:cs="宋体" w:asciiTheme="minorEastAsia" w:hAnsiTheme="minorEastAsia"/>
          <w:kern w:val="0"/>
          <w:sz w:val="24"/>
        </w:rPr>
        <w:t>2.6 文件资料</w:t>
      </w:r>
    </w:p>
    <w:p w14:paraId="60D5596C">
      <w:pPr>
        <w:spacing w:line="420" w:lineRule="exact"/>
        <w:ind w:firstLine="480" w:firstLineChars="200"/>
        <w:rPr>
          <w:rFonts w:cs="宋体" w:asciiTheme="minorEastAsia" w:hAnsiTheme="minorEastAsia"/>
          <w:sz w:val="24"/>
        </w:rPr>
      </w:pPr>
      <w:r>
        <w:rPr>
          <w:rFonts w:hint="eastAsia" w:cs="宋体" w:asciiTheme="minorEastAsia" w:hAnsiTheme="minorEastAsia"/>
          <w:kern w:val="0"/>
          <w:sz w:val="24"/>
        </w:rPr>
        <w:t>在本合同履行期内，监理人应在现场保留工作所用的图纸、报告及记录监理工</w:t>
      </w:r>
      <w:r>
        <w:rPr>
          <w:rFonts w:hint="eastAsia" w:cs="宋体" w:asciiTheme="minorEastAsia" w:hAnsiTheme="minorEastAsia"/>
          <w:sz w:val="24"/>
        </w:rPr>
        <w:t>作的相关文件。工程竣工后，应当按照档案管理规定将监理有关文件归档。</w:t>
      </w:r>
    </w:p>
    <w:p w14:paraId="73D46E2E">
      <w:pPr>
        <w:spacing w:line="420" w:lineRule="exact"/>
        <w:ind w:left="210" w:leftChars="100"/>
        <w:rPr>
          <w:rFonts w:cs="宋体" w:asciiTheme="minorEastAsia" w:hAnsiTheme="minorEastAsia"/>
          <w:kern w:val="0"/>
          <w:sz w:val="24"/>
        </w:rPr>
      </w:pPr>
      <w:r>
        <w:rPr>
          <w:rFonts w:hint="eastAsia" w:cs="宋体" w:asciiTheme="minorEastAsia" w:hAnsiTheme="minorEastAsia"/>
          <w:kern w:val="0"/>
          <w:sz w:val="24"/>
        </w:rPr>
        <w:t>2.7 使用委托人的财产</w:t>
      </w:r>
    </w:p>
    <w:p w14:paraId="3793D4C5">
      <w:pPr>
        <w:spacing w:line="420" w:lineRule="exact"/>
        <w:ind w:firstLine="480" w:firstLineChars="200"/>
        <w:rPr>
          <w:rFonts w:cs="宋体" w:asciiTheme="minorEastAsia" w:hAnsiTheme="minorEastAsia"/>
          <w:sz w:val="24"/>
        </w:rPr>
      </w:pPr>
      <w:r>
        <w:rPr>
          <w:rFonts w:hint="eastAsia" w:cs="宋体" w:asciiTheme="minorEastAsia" w:hAnsiTheme="minorEastAsia"/>
          <w:sz w:val="24"/>
        </w:rPr>
        <w:t>监理人无偿使用附录B中由委托人派遣的人员和提供的房屋、资料、设备。除专用条件另有约定外，委托人提供的房屋、设备属于委托人的财产，监理人应妥善使用和保管，在本合同终止时将这些房屋、设备的清单提交委托人，并按专用条件约定的时间和方式移交。</w:t>
      </w:r>
    </w:p>
    <w:p w14:paraId="3D565F5C">
      <w:pPr>
        <w:spacing w:line="420" w:lineRule="exact"/>
        <w:rPr>
          <w:rFonts w:cs="宋体" w:asciiTheme="minorEastAsia" w:hAnsiTheme="minorEastAsia"/>
          <w:b/>
          <w:kern w:val="0"/>
          <w:sz w:val="24"/>
        </w:rPr>
      </w:pPr>
      <w:r>
        <w:rPr>
          <w:rFonts w:hint="eastAsia" w:cs="宋体" w:asciiTheme="minorEastAsia" w:hAnsiTheme="minorEastAsia"/>
          <w:b/>
          <w:kern w:val="0"/>
          <w:sz w:val="24"/>
        </w:rPr>
        <w:t>3．委托人的义务</w:t>
      </w:r>
    </w:p>
    <w:p w14:paraId="35952570">
      <w:pPr>
        <w:spacing w:line="420" w:lineRule="exact"/>
        <w:ind w:left="210" w:leftChars="100"/>
        <w:rPr>
          <w:rFonts w:cs="宋体" w:asciiTheme="minorEastAsia" w:hAnsiTheme="minorEastAsia"/>
          <w:kern w:val="0"/>
          <w:sz w:val="24"/>
        </w:rPr>
      </w:pPr>
      <w:r>
        <w:rPr>
          <w:rFonts w:hint="eastAsia" w:cs="宋体" w:asciiTheme="minorEastAsia" w:hAnsiTheme="minorEastAsia"/>
          <w:kern w:val="0"/>
          <w:sz w:val="24"/>
        </w:rPr>
        <w:t>3.1 告知</w:t>
      </w:r>
    </w:p>
    <w:p w14:paraId="35CA0B6F">
      <w:pPr>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委托人应在委托人与承包人签订的合同中明确监理人、总监理工程师和授予项目监理机构的权限。如有变更，应及时通知承包人。</w:t>
      </w:r>
    </w:p>
    <w:p w14:paraId="232581AF">
      <w:pPr>
        <w:spacing w:line="420" w:lineRule="exact"/>
        <w:ind w:left="210" w:leftChars="100"/>
        <w:rPr>
          <w:rFonts w:cs="宋体" w:asciiTheme="minorEastAsia" w:hAnsiTheme="minorEastAsia"/>
          <w:kern w:val="0"/>
          <w:sz w:val="24"/>
        </w:rPr>
      </w:pPr>
      <w:r>
        <w:rPr>
          <w:rFonts w:hint="eastAsia" w:cs="宋体" w:asciiTheme="minorEastAsia" w:hAnsiTheme="minorEastAsia"/>
          <w:kern w:val="0"/>
          <w:sz w:val="24"/>
        </w:rPr>
        <w:t>3.2 提供资料</w:t>
      </w:r>
    </w:p>
    <w:p w14:paraId="70ECE0AD">
      <w:pPr>
        <w:spacing w:line="420" w:lineRule="exact"/>
        <w:ind w:firstLine="480" w:firstLineChars="200"/>
        <w:rPr>
          <w:rFonts w:cs="宋体" w:asciiTheme="minorEastAsia" w:hAnsiTheme="minorEastAsia"/>
          <w:sz w:val="24"/>
        </w:rPr>
      </w:pPr>
      <w:r>
        <w:rPr>
          <w:rFonts w:hint="eastAsia" w:cs="宋体" w:asciiTheme="minorEastAsia" w:hAnsiTheme="minorEastAsia"/>
          <w:kern w:val="0"/>
          <w:sz w:val="24"/>
        </w:rPr>
        <w:t>委托人应按照附录B约定，无偿向监理人提供工程有关的资料。</w:t>
      </w:r>
      <w:r>
        <w:rPr>
          <w:rFonts w:hint="eastAsia" w:cs="宋体" w:asciiTheme="minorEastAsia" w:hAnsiTheme="minorEastAsia"/>
          <w:sz w:val="24"/>
        </w:rPr>
        <w:t>在本合同履行过程中，委托人应及时向监理人提供最新的与工程有关的资料。</w:t>
      </w:r>
    </w:p>
    <w:p w14:paraId="4A743F56">
      <w:pPr>
        <w:spacing w:line="420" w:lineRule="exact"/>
        <w:ind w:left="210" w:leftChars="100"/>
        <w:rPr>
          <w:rFonts w:cs="宋体" w:asciiTheme="minorEastAsia" w:hAnsiTheme="minorEastAsia"/>
          <w:kern w:val="0"/>
          <w:sz w:val="24"/>
        </w:rPr>
      </w:pPr>
      <w:r>
        <w:rPr>
          <w:rFonts w:hint="eastAsia" w:cs="宋体" w:asciiTheme="minorEastAsia" w:hAnsiTheme="minorEastAsia"/>
          <w:kern w:val="0"/>
          <w:sz w:val="24"/>
        </w:rPr>
        <w:t>3.3 提供工作条件</w:t>
      </w:r>
    </w:p>
    <w:p w14:paraId="68AEB50F">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委托人应为监理人完成监理与相关服务提供必要的条件。</w:t>
      </w:r>
    </w:p>
    <w:p w14:paraId="1164F318">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kern w:val="0"/>
          <w:sz w:val="24"/>
        </w:rPr>
        <w:t xml:space="preserve">3.3.1 </w:t>
      </w:r>
      <w:r>
        <w:rPr>
          <w:rFonts w:hint="eastAsia" w:cs="宋体" w:asciiTheme="minorEastAsia" w:hAnsiTheme="minorEastAsia"/>
          <w:sz w:val="24"/>
        </w:rPr>
        <w:t>委托人应按照附录B约定，派遣相应的人员，提供房屋、设备，供监理人</w:t>
      </w:r>
      <w:r>
        <w:rPr>
          <w:rFonts w:hint="eastAsia" w:cs="宋体" w:asciiTheme="minorEastAsia" w:hAnsiTheme="minorEastAsia"/>
          <w:kern w:val="0"/>
          <w:sz w:val="24"/>
        </w:rPr>
        <w:t>无偿</w:t>
      </w:r>
      <w:r>
        <w:rPr>
          <w:rFonts w:hint="eastAsia" w:cs="宋体" w:asciiTheme="minorEastAsia" w:hAnsiTheme="minorEastAsia"/>
          <w:sz w:val="24"/>
        </w:rPr>
        <w:t>使用。</w:t>
      </w:r>
    </w:p>
    <w:p w14:paraId="68CE8FBF">
      <w:pPr>
        <w:spacing w:line="420" w:lineRule="exact"/>
        <w:ind w:firstLine="480" w:firstLineChars="200"/>
        <w:rPr>
          <w:rFonts w:cs="宋体" w:asciiTheme="minorEastAsia" w:hAnsiTheme="minorEastAsia"/>
          <w:sz w:val="24"/>
        </w:rPr>
      </w:pPr>
      <w:r>
        <w:rPr>
          <w:rFonts w:hint="eastAsia" w:cs="宋体" w:asciiTheme="minorEastAsia" w:hAnsiTheme="minorEastAsia"/>
          <w:kern w:val="0"/>
          <w:sz w:val="24"/>
        </w:rPr>
        <w:t xml:space="preserve">3.3.2 </w:t>
      </w:r>
      <w:r>
        <w:rPr>
          <w:rFonts w:hint="eastAsia" w:cs="宋体" w:asciiTheme="minorEastAsia" w:hAnsiTheme="minorEastAsia"/>
          <w:sz w:val="24"/>
        </w:rPr>
        <w:t>委托人应负责协调工程建设中所有外部关系，为监理人履行本合同提供必要的外部条件。</w:t>
      </w:r>
    </w:p>
    <w:p w14:paraId="576D7CC9">
      <w:pPr>
        <w:snapToGrid w:val="0"/>
        <w:spacing w:line="420" w:lineRule="exact"/>
        <w:ind w:left="210" w:leftChars="100"/>
        <w:rPr>
          <w:rFonts w:cs="宋体" w:asciiTheme="minorEastAsia" w:hAnsiTheme="minorEastAsia"/>
          <w:kern w:val="0"/>
          <w:sz w:val="24"/>
        </w:rPr>
      </w:pPr>
      <w:r>
        <w:rPr>
          <w:rFonts w:hint="eastAsia" w:cs="宋体" w:asciiTheme="minorEastAsia" w:hAnsiTheme="minorEastAsia"/>
          <w:kern w:val="0"/>
          <w:sz w:val="24"/>
        </w:rPr>
        <w:t>3.4 委托人代表</w:t>
      </w:r>
    </w:p>
    <w:p w14:paraId="1E59022A">
      <w:pPr>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委托人应授权一名熟悉工程情况的代表，负责与监理人联系。委托人应在双方签订本合同后7天内，将委托人代表的姓名和职责书面告知监理人。当委托人更换委托人代表时，应提前7天通知监理人。</w:t>
      </w:r>
    </w:p>
    <w:p w14:paraId="57B4C240">
      <w:pPr>
        <w:snapToGrid w:val="0"/>
        <w:spacing w:line="420" w:lineRule="exact"/>
        <w:ind w:left="210" w:leftChars="100"/>
        <w:rPr>
          <w:rFonts w:cs="宋体" w:asciiTheme="minorEastAsia" w:hAnsiTheme="minorEastAsia"/>
          <w:kern w:val="0"/>
          <w:sz w:val="24"/>
        </w:rPr>
      </w:pPr>
      <w:r>
        <w:rPr>
          <w:rFonts w:hint="eastAsia" w:cs="宋体" w:asciiTheme="minorEastAsia" w:hAnsiTheme="minorEastAsia"/>
          <w:kern w:val="0"/>
          <w:sz w:val="24"/>
        </w:rPr>
        <w:t>3.5 委托人意见或要求</w:t>
      </w:r>
    </w:p>
    <w:p w14:paraId="4C8CE58B">
      <w:pPr>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在本合同约定的监理与相关服务工作范围内，委托人对承包人的任何意见或要求应通知监理人，由监理人向承包人发出相应指令。</w:t>
      </w:r>
    </w:p>
    <w:p w14:paraId="544EEC99">
      <w:pPr>
        <w:snapToGrid w:val="0"/>
        <w:spacing w:line="420" w:lineRule="exact"/>
        <w:ind w:left="210" w:leftChars="100"/>
        <w:rPr>
          <w:rFonts w:cs="宋体" w:asciiTheme="minorEastAsia" w:hAnsiTheme="minorEastAsia"/>
          <w:kern w:val="0"/>
          <w:sz w:val="24"/>
        </w:rPr>
      </w:pPr>
      <w:r>
        <w:rPr>
          <w:rFonts w:hint="eastAsia" w:cs="宋体" w:asciiTheme="minorEastAsia" w:hAnsiTheme="minorEastAsia"/>
          <w:kern w:val="0"/>
          <w:sz w:val="24"/>
        </w:rPr>
        <w:t>3.6 答复</w:t>
      </w:r>
    </w:p>
    <w:p w14:paraId="72D78105">
      <w:pPr>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委托人应在专用条件约定的时间内，对监理人以书面形式提交并要求作出决定的事宜，给予书面答复。逾期未答复的，视为委托人认可。</w:t>
      </w:r>
    </w:p>
    <w:p w14:paraId="507D9C0B">
      <w:pPr>
        <w:snapToGrid w:val="0"/>
        <w:spacing w:line="420" w:lineRule="exact"/>
        <w:ind w:left="210" w:leftChars="100"/>
        <w:rPr>
          <w:rFonts w:cs="宋体" w:asciiTheme="minorEastAsia" w:hAnsiTheme="minorEastAsia"/>
          <w:kern w:val="0"/>
          <w:sz w:val="24"/>
        </w:rPr>
      </w:pPr>
      <w:r>
        <w:rPr>
          <w:rFonts w:hint="eastAsia" w:cs="宋体" w:asciiTheme="minorEastAsia" w:hAnsiTheme="minorEastAsia"/>
          <w:kern w:val="0"/>
          <w:sz w:val="24"/>
        </w:rPr>
        <w:t>3.7 支付</w:t>
      </w:r>
    </w:p>
    <w:p w14:paraId="7DD83C51">
      <w:pPr>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委托人应按本合同约定，向监理人支付酬金。</w:t>
      </w:r>
    </w:p>
    <w:p w14:paraId="6B8EE5F6">
      <w:pPr>
        <w:snapToGrid w:val="0"/>
        <w:spacing w:line="420" w:lineRule="exact"/>
        <w:rPr>
          <w:rFonts w:cs="宋体" w:asciiTheme="minorEastAsia" w:hAnsiTheme="minorEastAsia"/>
          <w:b/>
          <w:bCs/>
          <w:sz w:val="24"/>
        </w:rPr>
      </w:pPr>
      <w:r>
        <w:rPr>
          <w:rFonts w:hint="eastAsia" w:cs="宋体" w:asciiTheme="minorEastAsia" w:hAnsiTheme="minorEastAsia"/>
          <w:b/>
          <w:bCs/>
          <w:sz w:val="24"/>
        </w:rPr>
        <w:t>4. 违约责任</w:t>
      </w:r>
    </w:p>
    <w:p w14:paraId="6418F5FE">
      <w:pPr>
        <w:spacing w:line="420" w:lineRule="exact"/>
        <w:ind w:left="210" w:leftChars="100"/>
        <w:rPr>
          <w:rFonts w:cs="宋体" w:asciiTheme="minorEastAsia" w:hAnsiTheme="minorEastAsia"/>
          <w:kern w:val="0"/>
          <w:sz w:val="24"/>
        </w:rPr>
      </w:pPr>
      <w:r>
        <w:rPr>
          <w:rFonts w:hint="eastAsia" w:cs="宋体" w:asciiTheme="minorEastAsia" w:hAnsiTheme="minorEastAsia"/>
          <w:kern w:val="0"/>
          <w:sz w:val="24"/>
        </w:rPr>
        <w:t>4.1 监理人的违约责任</w:t>
      </w:r>
    </w:p>
    <w:p w14:paraId="2CA1F335">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kern w:val="0"/>
          <w:sz w:val="24"/>
        </w:rPr>
        <w:t>监理人未履行本合同义务的，应承担相应的责任。</w:t>
      </w:r>
    </w:p>
    <w:p w14:paraId="5BFBFB3D">
      <w:pPr>
        <w:adjustRightInd w:val="0"/>
        <w:snapToGrid w:val="0"/>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4.1.1 因监理人违反本合同约定</w:t>
      </w:r>
      <w:r>
        <w:rPr>
          <w:rFonts w:hint="eastAsia" w:cs="宋体" w:asciiTheme="minorEastAsia" w:hAnsiTheme="minorEastAsia"/>
          <w:sz w:val="24"/>
        </w:rPr>
        <w:t>给委托人造成损失的，监理人应当赔偿委托人损失</w:t>
      </w:r>
      <w:r>
        <w:rPr>
          <w:rFonts w:hint="eastAsia" w:cs="宋体" w:asciiTheme="minorEastAsia" w:hAnsiTheme="minorEastAsia"/>
          <w:kern w:val="0"/>
          <w:sz w:val="24"/>
        </w:rPr>
        <w:t>。赔偿金额的确定方法在专用条件中约定。监理人承担部分赔偿责任的，其承担赔偿金额由</w:t>
      </w:r>
      <w:r>
        <w:rPr>
          <w:rFonts w:hint="eastAsia" w:cs="宋体" w:asciiTheme="minorEastAsia" w:hAnsiTheme="minorEastAsia"/>
          <w:sz w:val="24"/>
        </w:rPr>
        <w:t>双方</w:t>
      </w:r>
      <w:r>
        <w:rPr>
          <w:rFonts w:hint="eastAsia" w:cs="宋体" w:asciiTheme="minorEastAsia" w:hAnsiTheme="minorEastAsia"/>
          <w:kern w:val="0"/>
          <w:sz w:val="24"/>
        </w:rPr>
        <w:t>协商确定。</w:t>
      </w:r>
    </w:p>
    <w:p w14:paraId="6CE23BD5">
      <w:pPr>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4.1.2 监理人向委托人的索赔不成立时，监理人应赔偿委托人由此发生的费用。</w:t>
      </w:r>
    </w:p>
    <w:p w14:paraId="3E1E5111">
      <w:pPr>
        <w:snapToGrid w:val="0"/>
        <w:spacing w:line="420" w:lineRule="exact"/>
        <w:ind w:firstLine="240" w:firstLineChars="100"/>
        <w:rPr>
          <w:rFonts w:cs="宋体" w:asciiTheme="minorEastAsia" w:hAnsiTheme="minorEastAsia"/>
          <w:kern w:val="0"/>
          <w:sz w:val="24"/>
        </w:rPr>
      </w:pPr>
      <w:r>
        <w:rPr>
          <w:rFonts w:hint="eastAsia" w:cs="宋体" w:asciiTheme="minorEastAsia" w:hAnsiTheme="minorEastAsia"/>
          <w:kern w:val="0"/>
          <w:sz w:val="24"/>
        </w:rPr>
        <w:t>4.2 委托人的违约责任</w:t>
      </w:r>
    </w:p>
    <w:p w14:paraId="2C18C83A">
      <w:pPr>
        <w:adjustRightInd w:val="0"/>
        <w:snapToGrid w:val="0"/>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委托人未履行本合同义务的，应承担相应的责任。</w:t>
      </w:r>
    </w:p>
    <w:p w14:paraId="4DC624BF">
      <w:pPr>
        <w:adjustRightInd w:val="0"/>
        <w:snapToGrid w:val="0"/>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4.2.1 委托人违反本合同约定造成监理人损失的，委托人应予以赔偿。</w:t>
      </w:r>
    </w:p>
    <w:p w14:paraId="457C9EC2">
      <w:pPr>
        <w:adjustRightInd w:val="0"/>
        <w:snapToGrid w:val="0"/>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4.2.2 委托人向监理人的索赔不成立时，应赔偿监理人由此引起的费用。</w:t>
      </w:r>
    </w:p>
    <w:p w14:paraId="58E35D7B">
      <w:pPr>
        <w:spacing w:line="420" w:lineRule="exact"/>
        <w:ind w:firstLine="480" w:firstLineChars="200"/>
        <w:rPr>
          <w:rFonts w:cs="宋体" w:asciiTheme="minorEastAsia" w:hAnsiTheme="minorEastAsia"/>
          <w:kern w:val="0"/>
          <w:sz w:val="24"/>
        </w:rPr>
      </w:pPr>
      <w:r>
        <w:rPr>
          <w:rFonts w:hint="eastAsia" w:cs="宋体" w:asciiTheme="minorEastAsia" w:hAnsiTheme="minorEastAsia"/>
          <w:sz w:val="24"/>
        </w:rPr>
        <w:t xml:space="preserve">4.2.3 </w:t>
      </w:r>
      <w:r>
        <w:rPr>
          <w:rFonts w:hint="eastAsia" w:cs="宋体" w:asciiTheme="minorEastAsia" w:hAnsiTheme="minorEastAsia"/>
          <w:kern w:val="0"/>
          <w:sz w:val="24"/>
        </w:rPr>
        <w:t>委托人未能按期支付</w:t>
      </w:r>
      <w:r>
        <w:rPr>
          <w:rFonts w:hint="eastAsia" w:cs="宋体" w:asciiTheme="minorEastAsia" w:hAnsiTheme="minorEastAsia"/>
          <w:sz w:val="24"/>
        </w:rPr>
        <w:t>酬金</w:t>
      </w:r>
      <w:r>
        <w:rPr>
          <w:rFonts w:hint="eastAsia" w:cs="宋体" w:asciiTheme="minorEastAsia" w:hAnsiTheme="minorEastAsia"/>
          <w:kern w:val="0"/>
          <w:sz w:val="24"/>
        </w:rPr>
        <w:t>超过28天，应按专用条件约定支付逾期付款利息。</w:t>
      </w:r>
    </w:p>
    <w:p w14:paraId="25860BD4">
      <w:pPr>
        <w:spacing w:line="420" w:lineRule="exact"/>
        <w:ind w:firstLine="240" w:firstLineChars="100"/>
        <w:rPr>
          <w:rFonts w:cs="宋体" w:asciiTheme="minorEastAsia" w:hAnsiTheme="minorEastAsia"/>
          <w:kern w:val="0"/>
          <w:sz w:val="24"/>
        </w:rPr>
      </w:pPr>
      <w:r>
        <w:rPr>
          <w:rFonts w:hint="eastAsia" w:cs="宋体" w:asciiTheme="minorEastAsia" w:hAnsiTheme="minorEastAsia"/>
          <w:kern w:val="0"/>
          <w:sz w:val="24"/>
        </w:rPr>
        <w:t>4.3 除外责任</w:t>
      </w:r>
    </w:p>
    <w:p w14:paraId="22809D2F">
      <w:pPr>
        <w:adjustRightInd w:val="0"/>
        <w:snapToGrid w:val="0"/>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因非监理人的原因，且监理人无过错，发生工程质量事故、安全事故、工期延误等造成的损失，监理人不承担赔偿责任。</w:t>
      </w:r>
    </w:p>
    <w:p w14:paraId="3B1ACD65">
      <w:pPr>
        <w:snapToGrid w:val="0"/>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因不可抗力导致本合同全部或部分不能履行时，</w:t>
      </w:r>
      <w:r>
        <w:rPr>
          <w:rFonts w:hint="eastAsia" w:cs="宋体" w:asciiTheme="minorEastAsia" w:hAnsiTheme="minorEastAsia"/>
          <w:sz w:val="24"/>
        </w:rPr>
        <w:t>双方</w:t>
      </w:r>
      <w:r>
        <w:rPr>
          <w:rFonts w:hint="eastAsia" w:cs="宋体" w:asciiTheme="minorEastAsia" w:hAnsiTheme="minorEastAsia"/>
          <w:kern w:val="0"/>
          <w:sz w:val="24"/>
        </w:rPr>
        <w:t>各自承担其因此而造成的损失、损害。</w:t>
      </w:r>
    </w:p>
    <w:p w14:paraId="0E4673CF">
      <w:pPr>
        <w:snapToGrid w:val="0"/>
        <w:spacing w:line="420" w:lineRule="exact"/>
        <w:rPr>
          <w:rFonts w:cs="宋体" w:asciiTheme="minorEastAsia" w:hAnsiTheme="minorEastAsia"/>
          <w:b/>
          <w:bCs/>
          <w:sz w:val="24"/>
        </w:rPr>
      </w:pPr>
      <w:r>
        <w:rPr>
          <w:rFonts w:hint="eastAsia" w:cs="宋体" w:asciiTheme="minorEastAsia" w:hAnsiTheme="minorEastAsia"/>
          <w:b/>
          <w:bCs/>
          <w:sz w:val="24"/>
        </w:rPr>
        <w:t>5. 支付</w:t>
      </w:r>
    </w:p>
    <w:p w14:paraId="3FD5970E">
      <w:pPr>
        <w:snapToGrid w:val="0"/>
        <w:spacing w:line="420" w:lineRule="exact"/>
        <w:ind w:left="210" w:leftChars="100"/>
        <w:rPr>
          <w:rFonts w:cs="宋体" w:asciiTheme="minorEastAsia" w:hAnsiTheme="minorEastAsia"/>
          <w:bCs/>
          <w:sz w:val="24"/>
        </w:rPr>
      </w:pPr>
      <w:r>
        <w:rPr>
          <w:rFonts w:hint="eastAsia" w:cs="宋体" w:asciiTheme="minorEastAsia" w:hAnsiTheme="minorEastAsia"/>
          <w:sz w:val="24"/>
        </w:rPr>
        <w:t xml:space="preserve">5.1 </w:t>
      </w:r>
      <w:r>
        <w:rPr>
          <w:rFonts w:hint="eastAsia" w:cs="宋体" w:asciiTheme="minorEastAsia" w:hAnsiTheme="minorEastAsia"/>
          <w:bCs/>
          <w:sz w:val="24"/>
        </w:rPr>
        <w:t>支付货币</w:t>
      </w:r>
    </w:p>
    <w:p w14:paraId="0010B92D">
      <w:pPr>
        <w:snapToGrid w:val="0"/>
        <w:spacing w:line="420" w:lineRule="exact"/>
        <w:ind w:firstLine="480" w:firstLineChars="200"/>
        <w:rPr>
          <w:rFonts w:cs="宋体" w:asciiTheme="minorEastAsia" w:hAnsiTheme="minorEastAsia"/>
          <w:bCs/>
          <w:sz w:val="24"/>
        </w:rPr>
      </w:pPr>
      <w:r>
        <w:rPr>
          <w:rFonts w:hint="eastAsia" w:cs="宋体" w:asciiTheme="minorEastAsia" w:hAnsiTheme="minorEastAsia"/>
          <w:sz w:val="24"/>
        </w:rPr>
        <w:t>除专用条件另有约定外，酬金均以人民币支付。涉及外币支付的，所采用的货币种类、比例和汇率在专用条件中约定。</w:t>
      </w:r>
    </w:p>
    <w:p w14:paraId="1C9C9298">
      <w:pPr>
        <w:snapToGrid w:val="0"/>
        <w:spacing w:line="420" w:lineRule="exact"/>
        <w:ind w:left="210" w:leftChars="100"/>
        <w:rPr>
          <w:rFonts w:cs="宋体" w:asciiTheme="minorEastAsia" w:hAnsiTheme="minorEastAsia"/>
          <w:bCs/>
          <w:sz w:val="24"/>
        </w:rPr>
      </w:pPr>
      <w:r>
        <w:rPr>
          <w:rFonts w:hint="eastAsia" w:cs="宋体" w:asciiTheme="minorEastAsia" w:hAnsiTheme="minorEastAsia"/>
          <w:sz w:val="24"/>
        </w:rPr>
        <w:t>5.2 支付申请</w:t>
      </w:r>
    </w:p>
    <w:p w14:paraId="3DB0A13E">
      <w:pPr>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监理人应在本合同约定的每次应付款时间的7天前，向委托人提交支付申请书。支付申请书应当说明当期应付款总额，并列出当期应支付的款项及其金额。</w:t>
      </w:r>
    </w:p>
    <w:p w14:paraId="3C26AEB3">
      <w:pPr>
        <w:snapToGrid w:val="0"/>
        <w:spacing w:line="420" w:lineRule="exact"/>
        <w:rPr>
          <w:rFonts w:cs="宋体" w:asciiTheme="minorEastAsia" w:hAnsiTheme="minorEastAsia"/>
          <w:sz w:val="24"/>
        </w:rPr>
      </w:pPr>
      <w:r>
        <w:rPr>
          <w:rFonts w:hint="eastAsia" w:cs="宋体" w:asciiTheme="minorEastAsia" w:hAnsiTheme="minorEastAsia"/>
          <w:sz w:val="24"/>
        </w:rPr>
        <w:t xml:space="preserve"> 5.3 支付酬金</w:t>
      </w:r>
    </w:p>
    <w:p w14:paraId="3308E770">
      <w:pPr>
        <w:snapToGrid w:val="0"/>
        <w:spacing w:line="420" w:lineRule="exact"/>
        <w:ind w:firstLine="480"/>
        <w:rPr>
          <w:rFonts w:cs="宋体" w:asciiTheme="minorEastAsia" w:hAnsiTheme="minorEastAsia"/>
          <w:sz w:val="24"/>
        </w:rPr>
      </w:pPr>
      <w:r>
        <w:rPr>
          <w:rFonts w:hint="eastAsia" w:cs="宋体" w:asciiTheme="minorEastAsia" w:hAnsiTheme="minorEastAsia"/>
          <w:sz w:val="24"/>
        </w:rPr>
        <w:t>支付的酬金包括正常工作酬金、附加工作酬金、合理化建议奖励金额及费用。</w:t>
      </w:r>
    </w:p>
    <w:p w14:paraId="77A3886E">
      <w:pPr>
        <w:snapToGrid w:val="0"/>
        <w:spacing w:line="420" w:lineRule="exact"/>
        <w:rPr>
          <w:rFonts w:cs="宋体" w:asciiTheme="minorEastAsia" w:hAnsiTheme="minorEastAsia"/>
          <w:bCs/>
          <w:sz w:val="24"/>
        </w:rPr>
      </w:pPr>
      <w:r>
        <w:rPr>
          <w:rFonts w:hint="eastAsia" w:cs="宋体" w:asciiTheme="minorEastAsia" w:hAnsiTheme="minorEastAsia"/>
          <w:sz w:val="24"/>
        </w:rPr>
        <w:t xml:space="preserve">  5.4 </w:t>
      </w:r>
      <w:r>
        <w:rPr>
          <w:rFonts w:hint="eastAsia" w:cs="宋体" w:asciiTheme="minorEastAsia" w:hAnsiTheme="minorEastAsia"/>
          <w:bCs/>
          <w:sz w:val="24"/>
        </w:rPr>
        <w:t>有争议部分的付款</w:t>
      </w:r>
    </w:p>
    <w:p w14:paraId="57B5CE82">
      <w:pPr>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委托人对监理人提交的支付申请书有异议时，应当在收到监理人提交的支付申请书后7天内，以书面形式向监理人发出异议通知。无异议部分的款项应按期支付，有异议部分的款项按第7条约定办理。</w:t>
      </w:r>
    </w:p>
    <w:p w14:paraId="74C03674">
      <w:pPr>
        <w:snapToGrid w:val="0"/>
        <w:spacing w:line="420" w:lineRule="exact"/>
        <w:rPr>
          <w:rFonts w:cs="宋体" w:asciiTheme="minorEastAsia" w:hAnsiTheme="minorEastAsia"/>
          <w:b/>
          <w:bCs/>
          <w:sz w:val="24"/>
        </w:rPr>
      </w:pPr>
      <w:r>
        <w:rPr>
          <w:rFonts w:hint="eastAsia" w:cs="宋体" w:asciiTheme="minorEastAsia" w:hAnsiTheme="minorEastAsia"/>
          <w:b/>
          <w:bCs/>
          <w:sz w:val="24"/>
        </w:rPr>
        <w:t>6. 合同生效、变更、暂停、解除与终止</w:t>
      </w:r>
    </w:p>
    <w:p w14:paraId="0CF5E932">
      <w:pPr>
        <w:spacing w:line="420" w:lineRule="exact"/>
        <w:ind w:left="210" w:leftChars="100"/>
        <w:rPr>
          <w:rFonts w:cs="宋体" w:asciiTheme="minorEastAsia" w:hAnsiTheme="minorEastAsia"/>
          <w:sz w:val="24"/>
        </w:rPr>
      </w:pPr>
      <w:r>
        <w:rPr>
          <w:rFonts w:hint="eastAsia" w:cs="宋体" w:asciiTheme="minorEastAsia" w:hAnsiTheme="minorEastAsia"/>
          <w:sz w:val="24"/>
        </w:rPr>
        <w:t>6.1生效</w:t>
      </w:r>
    </w:p>
    <w:p w14:paraId="50FFC9C0">
      <w:pPr>
        <w:spacing w:line="420" w:lineRule="exact"/>
        <w:ind w:firstLine="480" w:firstLineChars="200"/>
        <w:rPr>
          <w:rFonts w:cs="宋体" w:asciiTheme="minorEastAsia" w:hAnsiTheme="minorEastAsia"/>
          <w:sz w:val="24"/>
        </w:rPr>
      </w:pPr>
      <w:r>
        <w:rPr>
          <w:rFonts w:hint="eastAsia" w:cs="宋体" w:asciiTheme="minorEastAsia" w:hAnsiTheme="minorEastAsia"/>
          <w:sz w:val="24"/>
        </w:rPr>
        <w:t>除法律另有规定或者专用条件另有约定外，委托人和监理人的法定代表人或其授权代理人在协议书上签字并盖单位章后本合同生效。</w:t>
      </w:r>
    </w:p>
    <w:p w14:paraId="7FEBB97E">
      <w:pPr>
        <w:snapToGrid w:val="0"/>
        <w:spacing w:line="420" w:lineRule="exact"/>
        <w:ind w:left="210" w:leftChars="100"/>
        <w:rPr>
          <w:rFonts w:cs="宋体" w:asciiTheme="minorEastAsia" w:hAnsiTheme="minorEastAsia"/>
          <w:bCs/>
          <w:sz w:val="24"/>
        </w:rPr>
      </w:pPr>
      <w:r>
        <w:rPr>
          <w:rFonts w:hint="eastAsia" w:cs="宋体" w:asciiTheme="minorEastAsia" w:hAnsiTheme="minorEastAsia"/>
          <w:sz w:val="24"/>
        </w:rPr>
        <w:t>6.2</w:t>
      </w:r>
      <w:r>
        <w:rPr>
          <w:rFonts w:hint="eastAsia" w:cs="宋体" w:asciiTheme="minorEastAsia" w:hAnsiTheme="minorEastAsia"/>
          <w:bCs/>
          <w:sz w:val="24"/>
        </w:rPr>
        <w:t>变更</w:t>
      </w:r>
    </w:p>
    <w:p w14:paraId="11380273">
      <w:pPr>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6.2.1 任何一方提出变更请求时，双方经协商一致后可进行变更。</w:t>
      </w:r>
    </w:p>
    <w:p w14:paraId="2CC2AA01">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6.2.2除不可抗力外，因非监理人原因导致监理人履行合同期限延长、内容增加时，监理人应当将此情况与可能产生的影响及时通知委托人。增加的监理工作时间、工作内容应视为附加工作。附加工作酬金的确定方法在专用条件中约定。</w:t>
      </w:r>
    </w:p>
    <w:p w14:paraId="4300B2FE">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6.2.3合同生效后，如果实际情况发生变化使得监理人不能完成全部或部分工作时，监理人应立即通知委托人。除不可抗力外，其善后工作以及恢复服务的准备工作应为附加工作，附加工作酬金的确定方法在专用条件中约定。监理人用于恢复服务的准备时间不应超过28天。</w:t>
      </w:r>
    </w:p>
    <w:p w14:paraId="0CDF90D2">
      <w:pPr>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 xml:space="preserve">6.2.4合同签订后，遇有与工程相关的法律法规、标准颁布或修订的，双方应遵照执行。由此引起监理与相关服务的范围、时间、酬金变化的，双方应通过协商进行相应调整。 </w:t>
      </w:r>
    </w:p>
    <w:p w14:paraId="77C373E5">
      <w:pPr>
        <w:snapToGrid w:val="0"/>
        <w:spacing w:line="420" w:lineRule="exact"/>
        <w:rPr>
          <w:rFonts w:cs="宋体" w:asciiTheme="minorEastAsia" w:hAnsiTheme="minorEastAsia"/>
          <w:bCs/>
          <w:sz w:val="24"/>
        </w:rPr>
      </w:pPr>
      <w:r>
        <w:rPr>
          <w:rFonts w:hint="eastAsia" w:cs="宋体" w:asciiTheme="minorEastAsia" w:hAnsiTheme="minorEastAsia"/>
          <w:sz w:val="24"/>
        </w:rPr>
        <w:t xml:space="preserve">  6.3 暂停与</w:t>
      </w:r>
      <w:r>
        <w:rPr>
          <w:rFonts w:hint="eastAsia" w:cs="宋体" w:asciiTheme="minorEastAsia" w:hAnsiTheme="minorEastAsia"/>
          <w:bCs/>
          <w:sz w:val="24"/>
        </w:rPr>
        <w:t>解除</w:t>
      </w:r>
    </w:p>
    <w:p w14:paraId="20420D75">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除双方协商一致可以解除本合同外，当一方无正当理由未履行本合同约定的义务时，另一方可以根据本合同约定暂停履行本合同直至解除本合同。</w:t>
      </w:r>
    </w:p>
    <w:p w14:paraId="210AFF52">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6.3.1 在本合同有效期内，由于双方无法预见和控制的原因导致本合同全部或部分无法继续履行或继续履行已无意义，经双方协商一致，可以解除本合同或监理人的部分义务。在解除之前，监理人应作出合理安排，使开支减至最小。</w:t>
      </w:r>
    </w:p>
    <w:p w14:paraId="3DF1C102">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因解除本合同或解除监理人的部分义务导致监理人遭受的损失，除依法可以免除责任的情况外，应由委托人予以补偿，补偿金额由双方协商确定。</w:t>
      </w:r>
    </w:p>
    <w:p w14:paraId="7E8649DB">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解除本合同的协议必须采取书面形式，协议未达成之前，本合同仍然有效。</w:t>
      </w:r>
    </w:p>
    <w:p w14:paraId="00CC587D">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6.3.2 在本合同有效期内，因非监理人的原因导致工程施工全部或部分暂停，委托人可通知监理人要求暂停全部或部分工作。监理人应立即安排停止工作，并将开支减至最小。除不可抗力外，由此导致监理人遭受的损失应由委托人予以补偿。</w:t>
      </w:r>
    </w:p>
    <w:p w14:paraId="3A6B65B0">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暂停部分监理与相关服务时间超过182天，监理人可发出解除本合同约定的该部分义务的通知；暂停全部工作时间超过182天，监理人可发出解除本合同的通知，本合同自通知到达委托人时解除。委托人应将监理与相关服务</w:t>
      </w:r>
      <w:r>
        <w:rPr>
          <w:rFonts w:hint="eastAsia" w:cs="宋体" w:asciiTheme="minorEastAsia" w:hAnsiTheme="minorEastAsia"/>
          <w:kern w:val="0"/>
          <w:sz w:val="24"/>
        </w:rPr>
        <w:t>的</w:t>
      </w:r>
      <w:r>
        <w:rPr>
          <w:rFonts w:hint="eastAsia" w:cs="宋体" w:asciiTheme="minorEastAsia" w:hAnsiTheme="minorEastAsia"/>
          <w:sz w:val="24"/>
        </w:rPr>
        <w:t>酬金支付至本合同解除日，且应承担第4.2款约定的责任。</w:t>
      </w:r>
    </w:p>
    <w:p w14:paraId="4528E635">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6.3.3 当监理人无正当理由未履行本合同约定的义务时，委托人应通知监理人限期改正。若委托人在监理人接到通知后的7天内未收到监理人书面形式的合理解释，则可在7天内发出解除本合同的通知，自通知到达监理人时本合同解除。委托人应将监理与相关服务</w:t>
      </w:r>
      <w:r>
        <w:rPr>
          <w:rFonts w:hint="eastAsia" w:cs="宋体" w:asciiTheme="minorEastAsia" w:hAnsiTheme="minorEastAsia"/>
          <w:kern w:val="0"/>
          <w:sz w:val="24"/>
        </w:rPr>
        <w:t>的</w:t>
      </w:r>
      <w:r>
        <w:rPr>
          <w:rFonts w:hint="eastAsia" w:cs="宋体" w:asciiTheme="minorEastAsia" w:hAnsiTheme="minorEastAsia"/>
          <w:sz w:val="24"/>
        </w:rPr>
        <w:t>酬金支付至</w:t>
      </w:r>
      <w:r>
        <w:rPr>
          <w:rFonts w:hint="eastAsia" w:cs="宋体" w:asciiTheme="minorEastAsia" w:hAnsiTheme="minorEastAsia"/>
          <w:kern w:val="0"/>
          <w:sz w:val="24"/>
        </w:rPr>
        <w:t>限期改正通知到达监理人之日</w:t>
      </w:r>
      <w:r>
        <w:rPr>
          <w:rFonts w:hint="eastAsia" w:cs="宋体" w:asciiTheme="minorEastAsia" w:hAnsiTheme="minorEastAsia"/>
          <w:sz w:val="24"/>
        </w:rPr>
        <w:t>，但监理人应承担第4.1款约定的责任。</w:t>
      </w:r>
    </w:p>
    <w:p w14:paraId="4D145951">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6.3.4 监理人在专用条件5.3中约定的支付之日起28天后仍未收到委托人按本合同约定应付的款项，可向委托人发出催付通知。委托人接到通知14天后仍未支付或未提出监理人可以接受的延期支付安排，监理人可向委托人发出暂停工作的通知并可自行暂停全部或部分工作。暂停工作后14天内监理人仍未获得委托人应付酬金或委托人的合理答复，监理人可向委托人发出解除本合同的通知，自通知到达委托人时本合同解除。委托人应承担第4.2.3款约定的责任。</w:t>
      </w:r>
    </w:p>
    <w:p w14:paraId="20B35F01">
      <w:pPr>
        <w:snapToGrid w:val="0"/>
        <w:spacing w:line="420" w:lineRule="exact"/>
        <w:ind w:firstLine="480" w:firstLineChars="200"/>
        <w:rPr>
          <w:rFonts w:cs="宋体" w:asciiTheme="minorEastAsia" w:hAnsiTheme="minorEastAsia"/>
          <w:kern w:val="0"/>
          <w:sz w:val="24"/>
        </w:rPr>
      </w:pPr>
      <w:r>
        <w:rPr>
          <w:rFonts w:hint="eastAsia" w:cs="宋体" w:asciiTheme="minorEastAsia" w:hAnsiTheme="minorEastAsia"/>
          <w:sz w:val="24"/>
        </w:rPr>
        <w:t>6.3.5 因不可抗力致使本合同部分或全部不能履行时，一方应立即通知另一方，可暂停或解除本合同。</w:t>
      </w:r>
    </w:p>
    <w:p w14:paraId="1C507664">
      <w:pPr>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6.3.6 本合同解除后，本合同约定的有关结算、清理、争议解决方式的条件仍然有效。</w:t>
      </w:r>
    </w:p>
    <w:p w14:paraId="55DAA9AD">
      <w:pPr>
        <w:snapToGrid w:val="0"/>
        <w:spacing w:line="420" w:lineRule="exact"/>
        <w:ind w:left="210" w:leftChars="100"/>
        <w:rPr>
          <w:rFonts w:cs="宋体" w:asciiTheme="minorEastAsia" w:hAnsiTheme="minorEastAsia"/>
          <w:bCs/>
          <w:sz w:val="24"/>
        </w:rPr>
      </w:pPr>
      <w:r>
        <w:rPr>
          <w:rFonts w:hint="eastAsia" w:cs="宋体" w:asciiTheme="minorEastAsia" w:hAnsiTheme="minorEastAsia"/>
          <w:sz w:val="24"/>
        </w:rPr>
        <w:t xml:space="preserve">6.4 </w:t>
      </w:r>
      <w:r>
        <w:rPr>
          <w:rFonts w:hint="eastAsia" w:cs="宋体" w:asciiTheme="minorEastAsia" w:hAnsiTheme="minorEastAsia"/>
          <w:bCs/>
          <w:sz w:val="24"/>
        </w:rPr>
        <w:t>终止</w:t>
      </w:r>
    </w:p>
    <w:p w14:paraId="40AC3966">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以下条件全部满足时，本合同即告终止：</w:t>
      </w:r>
    </w:p>
    <w:p w14:paraId="2A22D8F2">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（1）监理人完成本合同约定的全部工作；</w:t>
      </w:r>
    </w:p>
    <w:p w14:paraId="15E97C0E">
      <w:pPr>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（2）委托人与监理人结清并支付全部酬金。</w:t>
      </w:r>
    </w:p>
    <w:p w14:paraId="3948EB25">
      <w:pPr>
        <w:snapToGrid w:val="0"/>
        <w:spacing w:line="420" w:lineRule="exact"/>
        <w:rPr>
          <w:rFonts w:cs="宋体" w:asciiTheme="minorEastAsia" w:hAnsiTheme="minorEastAsia"/>
          <w:b/>
          <w:bCs/>
          <w:sz w:val="24"/>
        </w:rPr>
      </w:pPr>
      <w:r>
        <w:rPr>
          <w:rFonts w:hint="eastAsia" w:cs="宋体" w:asciiTheme="minorEastAsia" w:hAnsiTheme="minorEastAsia"/>
          <w:b/>
          <w:bCs/>
          <w:sz w:val="24"/>
        </w:rPr>
        <w:t>7. 争议解决</w:t>
      </w:r>
    </w:p>
    <w:p w14:paraId="3D71BDE9">
      <w:pPr>
        <w:snapToGrid w:val="0"/>
        <w:spacing w:line="420" w:lineRule="exact"/>
        <w:ind w:left="210" w:leftChars="100"/>
        <w:rPr>
          <w:rFonts w:cs="宋体" w:asciiTheme="minorEastAsia" w:hAnsiTheme="minorEastAsia"/>
          <w:bCs/>
          <w:sz w:val="24"/>
        </w:rPr>
      </w:pPr>
      <w:r>
        <w:rPr>
          <w:rFonts w:hint="eastAsia" w:cs="宋体" w:asciiTheme="minorEastAsia" w:hAnsiTheme="minorEastAsia"/>
          <w:sz w:val="24"/>
        </w:rPr>
        <w:t>7.1</w:t>
      </w:r>
      <w:r>
        <w:rPr>
          <w:rFonts w:hint="eastAsia" w:cs="宋体" w:asciiTheme="minorEastAsia" w:hAnsiTheme="minorEastAsia"/>
          <w:bCs/>
          <w:sz w:val="24"/>
        </w:rPr>
        <w:t>协商</w:t>
      </w:r>
    </w:p>
    <w:p w14:paraId="4F8F7AD2">
      <w:pPr>
        <w:snapToGrid w:val="0"/>
        <w:spacing w:line="420" w:lineRule="exact"/>
        <w:ind w:firstLine="480" w:firstLineChars="200"/>
        <w:rPr>
          <w:rFonts w:cs="宋体" w:asciiTheme="minorEastAsia" w:hAnsiTheme="minorEastAsia"/>
          <w:bCs/>
          <w:sz w:val="24"/>
        </w:rPr>
      </w:pPr>
      <w:r>
        <w:rPr>
          <w:rFonts w:hint="eastAsia" w:cs="宋体" w:asciiTheme="minorEastAsia" w:hAnsiTheme="minorEastAsia"/>
          <w:sz w:val="24"/>
        </w:rPr>
        <w:t>双方应本着诚信原则协商解决彼此间的争议。</w:t>
      </w:r>
    </w:p>
    <w:p w14:paraId="4E67A8B3">
      <w:pPr>
        <w:snapToGrid w:val="0"/>
        <w:spacing w:line="420" w:lineRule="exact"/>
        <w:ind w:left="210" w:leftChars="100"/>
        <w:rPr>
          <w:rFonts w:cs="宋体" w:asciiTheme="minorEastAsia" w:hAnsiTheme="minorEastAsia"/>
          <w:bCs/>
          <w:sz w:val="24"/>
        </w:rPr>
      </w:pPr>
      <w:r>
        <w:rPr>
          <w:rFonts w:hint="eastAsia" w:cs="宋体" w:asciiTheme="minorEastAsia" w:hAnsiTheme="minorEastAsia"/>
          <w:sz w:val="24"/>
        </w:rPr>
        <w:t>7.2</w:t>
      </w:r>
      <w:r>
        <w:rPr>
          <w:rFonts w:hint="eastAsia" w:cs="宋体" w:asciiTheme="minorEastAsia" w:hAnsiTheme="minorEastAsia"/>
          <w:bCs/>
          <w:sz w:val="24"/>
        </w:rPr>
        <w:t>调解</w:t>
      </w:r>
    </w:p>
    <w:p w14:paraId="79BFAFC5">
      <w:pPr>
        <w:snapToGrid w:val="0"/>
        <w:spacing w:line="420" w:lineRule="exact"/>
        <w:ind w:firstLine="480" w:firstLineChars="200"/>
        <w:rPr>
          <w:rFonts w:cs="宋体" w:asciiTheme="minorEastAsia" w:hAnsiTheme="minorEastAsia"/>
          <w:bCs/>
          <w:sz w:val="24"/>
        </w:rPr>
      </w:pPr>
      <w:r>
        <w:rPr>
          <w:rFonts w:hint="eastAsia" w:cs="宋体" w:asciiTheme="minorEastAsia" w:hAnsiTheme="minorEastAsia"/>
          <w:sz w:val="24"/>
        </w:rPr>
        <w:t>如果双方不能在14天内或双方商定的其他时间内解决本合同争议，可以将其提交给专用条件约定的或事后达成协议的调解人进行调解。</w:t>
      </w:r>
    </w:p>
    <w:p w14:paraId="49C7031D">
      <w:pPr>
        <w:snapToGrid w:val="0"/>
        <w:spacing w:line="420" w:lineRule="exact"/>
        <w:ind w:left="210" w:leftChars="100"/>
        <w:rPr>
          <w:rFonts w:cs="宋体" w:asciiTheme="minorEastAsia" w:hAnsiTheme="minorEastAsia"/>
          <w:bCs/>
          <w:sz w:val="24"/>
        </w:rPr>
      </w:pPr>
      <w:r>
        <w:rPr>
          <w:rFonts w:hint="eastAsia" w:cs="宋体" w:asciiTheme="minorEastAsia" w:hAnsiTheme="minorEastAsia"/>
          <w:sz w:val="24"/>
        </w:rPr>
        <w:t>7.3</w:t>
      </w:r>
      <w:r>
        <w:rPr>
          <w:rFonts w:hint="eastAsia" w:cs="宋体" w:asciiTheme="minorEastAsia" w:hAnsiTheme="minorEastAsia"/>
          <w:bCs/>
          <w:sz w:val="24"/>
        </w:rPr>
        <w:t>仲裁或诉讼</w:t>
      </w:r>
    </w:p>
    <w:p w14:paraId="72CF54C3">
      <w:pPr>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双方均有权不经调解直接向专用条件约定的仲裁机构申请仲裁或向有管辖权的人民法院提起诉讼。</w:t>
      </w:r>
    </w:p>
    <w:p w14:paraId="16F3A5E4">
      <w:pPr>
        <w:snapToGrid w:val="0"/>
        <w:spacing w:line="420" w:lineRule="exact"/>
        <w:rPr>
          <w:rFonts w:cs="宋体" w:asciiTheme="minorEastAsia" w:hAnsiTheme="minorEastAsia"/>
          <w:b/>
          <w:bCs/>
          <w:sz w:val="24"/>
        </w:rPr>
      </w:pPr>
      <w:r>
        <w:rPr>
          <w:rFonts w:hint="eastAsia" w:cs="宋体" w:asciiTheme="minorEastAsia" w:hAnsiTheme="minorEastAsia"/>
          <w:b/>
          <w:bCs/>
          <w:sz w:val="24"/>
        </w:rPr>
        <w:t>8. 其他</w:t>
      </w:r>
    </w:p>
    <w:p w14:paraId="1C2FE8C8">
      <w:pPr>
        <w:spacing w:line="420" w:lineRule="exact"/>
        <w:ind w:left="210" w:leftChars="100"/>
        <w:rPr>
          <w:rFonts w:cs="宋体" w:asciiTheme="minorEastAsia" w:hAnsiTheme="minorEastAsia"/>
          <w:bCs/>
          <w:sz w:val="24"/>
        </w:rPr>
      </w:pPr>
      <w:r>
        <w:rPr>
          <w:rFonts w:hint="eastAsia" w:cs="宋体" w:asciiTheme="minorEastAsia" w:hAnsiTheme="minorEastAsia"/>
          <w:sz w:val="24"/>
        </w:rPr>
        <w:t xml:space="preserve">8.1 </w:t>
      </w:r>
      <w:r>
        <w:rPr>
          <w:rFonts w:hint="eastAsia" w:cs="宋体" w:asciiTheme="minorEastAsia" w:hAnsiTheme="minorEastAsia"/>
          <w:bCs/>
          <w:sz w:val="24"/>
        </w:rPr>
        <w:t>外出考察费用</w:t>
      </w:r>
    </w:p>
    <w:p w14:paraId="75020909">
      <w:pPr>
        <w:snapToGrid w:val="0"/>
        <w:spacing w:line="420" w:lineRule="exact"/>
        <w:ind w:firstLine="480" w:firstLineChars="200"/>
        <w:rPr>
          <w:rFonts w:cs="宋体" w:asciiTheme="minorEastAsia" w:hAnsiTheme="minorEastAsia"/>
          <w:bCs/>
          <w:sz w:val="24"/>
        </w:rPr>
      </w:pPr>
      <w:r>
        <w:rPr>
          <w:rFonts w:hint="eastAsia" w:cs="宋体" w:asciiTheme="minorEastAsia" w:hAnsiTheme="minorEastAsia"/>
          <w:sz w:val="24"/>
        </w:rPr>
        <w:t>经委托人同意，监理人员外出考察发生的费用由委托人审核后支付。</w:t>
      </w:r>
    </w:p>
    <w:p w14:paraId="6A2189F0">
      <w:pPr>
        <w:snapToGrid w:val="0"/>
        <w:spacing w:line="420" w:lineRule="exact"/>
        <w:ind w:left="210" w:leftChars="100"/>
        <w:rPr>
          <w:rFonts w:cs="宋体" w:asciiTheme="minorEastAsia" w:hAnsiTheme="minorEastAsia"/>
          <w:bCs/>
          <w:sz w:val="24"/>
        </w:rPr>
      </w:pPr>
      <w:r>
        <w:rPr>
          <w:rFonts w:hint="eastAsia" w:cs="宋体" w:asciiTheme="minorEastAsia" w:hAnsiTheme="minorEastAsia"/>
          <w:sz w:val="24"/>
        </w:rPr>
        <w:t xml:space="preserve">8.2 </w:t>
      </w:r>
      <w:r>
        <w:rPr>
          <w:rFonts w:hint="eastAsia" w:cs="宋体" w:asciiTheme="minorEastAsia" w:hAnsiTheme="minorEastAsia"/>
          <w:bCs/>
          <w:sz w:val="24"/>
        </w:rPr>
        <w:t>检测费用</w:t>
      </w:r>
    </w:p>
    <w:p w14:paraId="23B5BD24">
      <w:pPr>
        <w:snapToGrid w:val="0"/>
        <w:spacing w:line="420" w:lineRule="exact"/>
        <w:ind w:firstLine="480" w:firstLineChars="200"/>
        <w:rPr>
          <w:rFonts w:cs="宋体" w:asciiTheme="minorEastAsia" w:hAnsiTheme="minorEastAsia"/>
          <w:bCs/>
          <w:sz w:val="24"/>
        </w:rPr>
      </w:pPr>
      <w:r>
        <w:rPr>
          <w:rFonts w:hint="eastAsia" w:cs="宋体" w:asciiTheme="minorEastAsia" w:hAnsiTheme="minorEastAsia"/>
          <w:sz w:val="24"/>
        </w:rPr>
        <w:t>委托人要求监理人进行的材料和设备检测所发生的费用，由委托人支付，支付时间在专用条件中约定。</w:t>
      </w:r>
    </w:p>
    <w:p w14:paraId="0E25D8B6">
      <w:pPr>
        <w:snapToGrid w:val="0"/>
        <w:spacing w:line="420" w:lineRule="exact"/>
        <w:ind w:left="210" w:leftChars="100"/>
        <w:rPr>
          <w:rFonts w:cs="宋体" w:asciiTheme="minorEastAsia" w:hAnsiTheme="minorEastAsia"/>
          <w:bCs/>
          <w:sz w:val="24"/>
        </w:rPr>
      </w:pPr>
      <w:r>
        <w:rPr>
          <w:rFonts w:hint="eastAsia" w:cs="宋体" w:asciiTheme="minorEastAsia" w:hAnsiTheme="minorEastAsia"/>
          <w:sz w:val="24"/>
        </w:rPr>
        <w:t xml:space="preserve">8.3 </w:t>
      </w:r>
      <w:r>
        <w:rPr>
          <w:rFonts w:hint="eastAsia" w:cs="宋体" w:asciiTheme="minorEastAsia" w:hAnsiTheme="minorEastAsia"/>
          <w:bCs/>
          <w:sz w:val="24"/>
        </w:rPr>
        <w:t>咨询费用</w:t>
      </w:r>
    </w:p>
    <w:p w14:paraId="5CF76E4B">
      <w:pPr>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经委托人同意，根据工程需要由监理人组织的相关咨询论证会以及聘请相关专家等发生的费用由委托人支付，支付时间在专用条件中约定。</w:t>
      </w:r>
    </w:p>
    <w:p w14:paraId="1B4F2B95">
      <w:pPr>
        <w:snapToGrid w:val="0"/>
        <w:spacing w:line="420" w:lineRule="exact"/>
        <w:ind w:left="210" w:leftChars="100"/>
        <w:rPr>
          <w:rFonts w:cs="宋体" w:asciiTheme="minorEastAsia" w:hAnsiTheme="minorEastAsia"/>
          <w:bCs/>
          <w:sz w:val="24"/>
        </w:rPr>
      </w:pPr>
      <w:r>
        <w:rPr>
          <w:rFonts w:hint="eastAsia" w:cs="宋体" w:asciiTheme="minorEastAsia" w:hAnsiTheme="minorEastAsia"/>
          <w:sz w:val="24"/>
        </w:rPr>
        <w:t xml:space="preserve">8.4 </w:t>
      </w:r>
      <w:r>
        <w:rPr>
          <w:rFonts w:hint="eastAsia" w:cs="宋体" w:asciiTheme="minorEastAsia" w:hAnsiTheme="minorEastAsia"/>
          <w:bCs/>
          <w:sz w:val="24"/>
        </w:rPr>
        <w:t>奖励</w:t>
      </w:r>
    </w:p>
    <w:p w14:paraId="4747C207">
      <w:pPr>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监理人在服务过程中提出的合理化建议，使委托人获得经济效益的，双方在专用条件中约定奖励金额的确定方法。奖励金额在合理化建议被采纳后，与最近一期的正常工作酬金同期支付。</w:t>
      </w:r>
    </w:p>
    <w:p w14:paraId="26EB6AA6">
      <w:pPr>
        <w:snapToGrid w:val="0"/>
        <w:spacing w:line="420" w:lineRule="exact"/>
        <w:ind w:left="210" w:leftChars="100"/>
        <w:rPr>
          <w:rFonts w:cs="宋体" w:asciiTheme="minorEastAsia" w:hAnsiTheme="minorEastAsia"/>
          <w:bCs/>
          <w:sz w:val="24"/>
        </w:rPr>
      </w:pPr>
      <w:r>
        <w:rPr>
          <w:rFonts w:hint="eastAsia" w:cs="宋体" w:asciiTheme="minorEastAsia" w:hAnsiTheme="minorEastAsia"/>
          <w:sz w:val="24"/>
        </w:rPr>
        <w:t xml:space="preserve">8.5 </w:t>
      </w:r>
      <w:r>
        <w:rPr>
          <w:rFonts w:hint="eastAsia" w:cs="宋体" w:asciiTheme="minorEastAsia" w:hAnsiTheme="minorEastAsia"/>
          <w:bCs/>
          <w:sz w:val="24"/>
        </w:rPr>
        <w:t>守法诚信</w:t>
      </w:r>
    </w:p>
    <w:p w14:paraId="30672F8F">
      <w:pPr>
        <w:snapToGrid w:val="0"/>
        <w:spacing w:line="420" w:lineRule="exact"/>
        <w:ind w:firstLine="480" w:firstLineChars="200"/>
        <w:rPr>
          <w:rFonts w:cs="宋体" w:asciiTheme="minorEastAsia" w:hAnsiTheme="minorEastAsia"/>
          <w:bCs/>
          <w:sz w:val="24"/>
        </w:rPr>
      </w:pPr>
      <w:r>
        <w:rPr>
          <w:rFonts w:hint="eastAsia" w:cs="宋体" w:asciiTheme="minorEastAsia" w:hAnsiTheme="minorEastAsia"/>
          <w:sz w:val="24"/>
        </w:rPr>
        <w:t>监理人及其工作人员不得从与实施工程有关的第双方处获得任何经济利益。</w:t>
      </w:r>
    </w:p>
    <w:p w14:paraId="01983ED8">
      <w:pPr>
        <w:snapToGrid w:val="0"/>
        <w:spacing w:line="420" w:lineRule="exact"/>
        <w:ind w:left="210" w:leftChars="100"/>
        <w:rPr>
          <w:rFonts w:cs="宋体" w:asciiTheme="minorEastAsia" w:hAnsiTheme="minorEastAsia"/>
          <w:bCs/>
          <w:sz w:val="24"/>
        </w:rPr>
      </w:pPr>
      <w:r>
        <w:rPr>
          <w:rFonts w:hint="eastAsia" w:cs="宋体" w:asciiTheme="minorEastAsia" w:hAnsiTheme="minorEastAsia"/>
          <w:sz w:val="24"/>
        </w:rPr>
        <w:t xml:space="preserve">8.6 </w:t>
      </w:r>
      <w:r>
        <w:rPr>
          <w:rFonts w:hint="eastAsia" w:cs="宋体" w:asciiTheme="minorEastAsia" w:hAnsiTheme="minorEastAsia"/>
          <w:bCs/>
          <w:sz w:val="24"/>
        </w:rPr>
        <w:t>保密</w:t>
      </w:r>
    </w:p>
    <w:p w14:paraId="48AF994B">
      <w:pPr>
        <w:snapToGrid w:val="0"/>
        <w:spacing w:line="420" w:lineRule="exact"/>
        <w:ind w:firstLine="480" w:firstLineChars="200"/>
        <w:rPr>
          <w:rFonts w:cs="宋体" w:asciiTheme="minorEastAsia" w:hAnsiTheme="minorEastAsia"/>
          <w:bCs/>
          <w:sz w:val="24"/>
        </w:rPr>
      </w:pPr>
      <w:r>
        <w:rPr>
          <w:rFonts w:hint="eastAsia" w:cs="宋体" w:asciiTheme="minorEastAsia" w:hAnsiTheme="minorEastAsia"/>
          <w:sz w:val="24"/>
        </w:rPr>
        <w:t>双方不得泄露对方申明的保密资料，亦不得泄露与实施工程有关的第双方所提供的保密资料，保密事项在专用条件中约定。</w:t>
      </w:r>
    </w:p>
    <w:p w14:paraId="1398AE43">
      <w:pPr>
        <w:snapToGrid w:val="0"/>
        <w:spacing w:line="420" w:lineRule="exact"/>
        <w:ind w:left="210" w:leftChars="100"/>
        <w:rPr>
          <w:rFonts w:cs="宋体" w:asciiTheme="minorEastAsia" w:hAnsiTheme="minorEastAsia"/>
          <w:bCs/>
          <w:sz w:val="24"/>
        </w:rPr>
      </w:pPr>
      <w:r>
        <w:rPr>
          <w:rFonts w:hint="eastAsia" w:cs="宋体" w:asciiTheme="minorEastAsia" w:hAnsiTheme="minorEastAsia"/>
          <w:sz w:val="24"/>
        </w:rPr>
        <w:t xml:space="preserve">8.7 </w:t>
      </w:r>
      <w:r>
        <w:rPr>
          <w:rFonts w:hint="eastAsia" w:cs="宋体" w:asciiTheme="minorEastAsia" w:hAnsiTheme="minorEastAsia"/>
          <w:bCs/>
          <w:sz w:val="24"/>
        </w:rPr>
        <w:t>通知</w:t>
      </w:r>
    </w:p>
    <w:p w14:paraId="63620160">
      <w:pPr>
        <w:snapToGrid w:val="0"/>
        <w:spacing w:line="420" w:lineRule="exact"/>
        <w:ind w:firstLine="480" w:firstLineChars="200"/>
        <w:rPr>
          <w:rFonts w:cs="宋体" w:asciiTheme="minorEastAsia" w:hAnsiTheme="minorEastAsia"/>
          <w:bCs/>
          <w:sz w:val="24"/>
        </w:rPr>
      </w:pPr>
      <w:r>
        <w:rPr>
          <w:rFonts w:hint="eastAsia" w:cs="宋体" w:asciiTheme="minorEastAsia" w:hAnsiTheme="minorEastAsia"/>
          <w:sz w:val="24"/>
        </w:rPr>
        <w:t>本合同涉及的通知均应当采用书面形式，并在送达对方时生效，收件人应书面签收。</w:t>
      </w:r>
    </w:p>
    <w:p w14:paraId="41DBB331">
      <w:pPr>
        <w:snapToGrid w:val="0"/>
        <w:spacing w:line="420" w:lineRule="exact"/>
        <w:ind w:left="210" w:leftChars="100"/>
        <w:rPr>
          <w:rFonts w:cs="宋体" w:asciiTheme="minorEastAsia" w:hAnsiTheme="minorEastAsia"/>
          <w:bCs/>
          <w:sz w:val="24"/>
        </w:rPr>
      </w:pPr>
      <w:r>
        <w:rPr>
          <w:rFonts w:hint="eastAsia" w:cs="宋体" w:asciiTheme="minorEastAsia" w:hAnsiTheme="minorEastAsia"/>
          <w:sz w:val="24"/>
        </w:rPr>
        <w:t xml:space="preserve">8.8 </w:t>
      </w:r>
      <w:r>
        <w:rPr>
          <w:rFonts w:hint="eastAsia" w:cs="宋体" w:asciiTheme="minorEastAsia" w:hAnsiTheme="minorEastAsia"/>
          <w:bCs/>
          <w:sz w:val="24"/>
        </w:rPr>
        <w:t>著作权</w:t>
      </w:r>
    </w:p>
    <w:p w14:paraId="2476272F">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监理人对其编制的文件拥有著作权。</w:t>
      </w:r>
    </w:p>
    <w:p w14:paraId="63C9FB62">
      <w:pPr>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监理人可单独或与他人联合出版有关监理与相关服务的资料。除专用条件另有约定外，如果监理人在本合同履行期间及本合同终止后两年内出版涉及本工程的有关监理与相关服务的资料，应当征得委托人的同意。</w:t>
      </w:r>
    </w:p>
    <w:p w14:paraId="56BDB91D">
      <w:pPr>
        <w:tabs>
          <w:tab w:val="left" w:pos="3120"/>
        </w:tabs>
        <w:spacing w:line="360" w:lineRule="auto"/>
        <w:jc w:val="center"/>
        <w:rPr>
          <w:rFonts w:cs="宋体" w:asciiTheme="minorEastAsia" w:hAnsiTheme="minorEastAsia"/>
          <w:bCs/>
          <w:sz w:val="24"/>
        </w:rPr>
        <w:sectPr>
          <w:footerReference r:id="rId10" w:type="first"/>
          <w:headerReference r:id="rId8" w:type="default"/>
          <w:footerReference r:id="rId9" w:type="default"/>
          <w:pgSz w:w="11906" w:h="16838"/>
          <w:pgMar w:top="1440" w:right="1797" w:bottom="1440" w:left="1797" w:header="851" w:footer="992" w:gutter="0"/>
          <w:pgNumType w:start="1"/>
          <w:cols w:space="720" w:num="1"/>
          <w:titlePg/>
          <w:docGrid w:type="lines" w:linePitch="312" w:charSpace="0"/>
        </w:sectPr>
      </w:pPr>
    </w:p>
    <w:p w14:paraId="4773778F">
      <w:pPr>
        <w:tabs>
          <w:tab w:val="left" w:pos="3120"/>
        </w:tabs>
        <w:spacing w:line="360" w:lineRule="auto"/>
        <w:jc w:val="center"/>
        <w:rPr>
          <w:rFonts w:cs="宋体" w:asciiTheme="minorEastAsia" w:hAnsiTheme="minorEastAsia"/>
          <w:b/>
          <w:sz w:val="24"/>
        </w:rPr>
      </w:pPr>
      <w:r>
        <w:rPr>
          <w:rFonts w:hint="eastAsia" w:cs="宋体" w:asciiTheme="minorEastAsia" w:hAnsiTheme="minorEastAsia"/>
          <w:b/>
          <w:sz w:val="24"/>
        </w:rPr>
        <w:t>第三部分  专用条件</w:t>
      </w:r>
    </w:p>
    <w:p w14:paraId="33BE839D">
      <w:pPr>
        <w:adjustRightInd w:val="0"/>
        <w:snapToGrid w:val="0"/>
        <w:spacing w:line="420" w:lineRule="exact"/>
        <w:rPr>
          <w:rFonts w:cs="宋体" w:asciiTheme="minorEastAsia" w:hAnsiTheme="minorEastAsia"/>
          <w:b/>
          <w:sz w:val="24"/>
        </w:rPr>
      </w:pPr>
      <w:r>
        <w:rPr>
          <w:rFonts w:hint="eastAsia" w:cs="宋体" w:asciiTheme="minorEastAsia" w:hAnsiTheme="minorEastAsia"/>
          <w:b/>
          <w:sz w:val="24"/>
        </w:rPr>
        <w:t>1. 定义与解释</w:t>
      </w:r>
    </w:p>
    <w:p w14:paraId="2ECBEFA2">
      <w:pPr>
        <w:adjustRightInd w:val="0"/>
        <w:snapToGrid w:val="0"/>
        <w:spacing w:line="420" w:lineRule="exact"/>
        <w:rPr>
          <w:rFonts w:cs="宋体" w:asciiTheme="minorEastAsia" w:hAnsiTheme="minorEastAsia"/>
          <w:sz w:val="24"/>
        </w:rPr>
      </w:pPr>
      <w:r>
        <w:rPr>
          <w:rFonts w:hint="eastAsia" w:cs="宋体" w:asciiTheme="minorEastAsia" w:hAnsiTheme="minorEastAsia"/>
          <w:sz w:val="24"/>
        </w:rPr>
        <w:t xml:space="preserve">  1.2  解释</w:t>
      </w:r>
    </w:p>
    <w:p w14:paraId="60B4EC45">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1.2.1 本合同文件除使用中文外，还可用</w:t>
      </w:r>
      <w:r>
        <w:rPr>
          <w:rFonts w:hint="eastAsia" w:cs="宋体" w:asciiTheme="minorEastAsia" w:hAnsiTheme="minorEastAsia"/>
          <w:sz w:val="24"/>
          <w:u w:val="single"/>
        </w:rPr>
        <w:t xml:space="preserve"> / </w:t>
      </w:r>
      <w:r>
        <w:rPr>
          <w:rFonts w:hint="eastAsia" w:cs="宋体" w:asciiTheme="minorEastAsia" w:hAnsiTheme="minorEastAsia"/>
          <w:sz w:val="24"/>
        </w:rPr>
        <w:t>。</w:t>
      </w:r>
    </w:p>
    <w:p w14:paraId="17D90BC7">
      <w:pPr>
        <w:adjustRightInd w:val="0"/>
        <w:snapToGrid w:val="0"/>
        <w:spacing w:line="420" w:lineRule="exact"/>
        <w:ind w:firstLine="480" w:firstLineChars="200"/>
        <w:rPr>
          <w:rFonts w:cs="宋体" w:asciiTheme="minorEastAsia" w:hAnsiTheme="minorEastAsia"/>
          <w:sz w:val="24"/>
        </w:rPr>
      </w:pPr>
      <w:r>
        <w:rPr>
          <w:rFonts w:hint="eastAsia" w:cs="宋体" w:asciiTheme="minorEastAsia" w:hAnsiTheme="minorEastAsia"/>
          <w:sz w:val="24"/>
        </w:rPr>
        <w:t>1.2.2 约定本合同文件的解释顺序为：</w:t>
      </w:r>
      <w:r>
        <w:rPr>
          <w:rFonts w:hint="eastAsia" w:cs="宋体" w:asciiTheme="minorEastAsia" w:hAnsiTheme="minorEastAsia"/>
          <w:sz w:val="24"/>
          <w:u w:val="single"/>
        </w:rPr>
        <w:t xml:space="preserve"> 执行通用条款 </w:t>
      </w:r>
      <w:r>
        <w:rPr>
          <w:rFonts w:hint="eastAsia" w:cs="宋体" w:asciiTheme="minorEastAsia" w:hAnsiTheme="minorEastAsia"/>
          <w:sz w:val="24"/>
        </w:rPr>
        <w:t>。</w:t>
      </w:r>
    </w:p>
    <w:p w14:paraId="7CA59CAB">
      <w:pPr>
        <w:adjustRightInd w:val="0"/>
        <w:snapToGrid w:val="0"/>
        <w:spacing w:line="420" w:lineRule="exact"/>
        <w:rPr>
          <w:rFonts w:cs="宋体" w:asciiTheme="minorEastAsia" w:hAnsiTheme="minorEastAsia"/>
          <w:b/>
          <w:sz w:val="24"/>
        </w:rPr>
      </w:pPr>
      <w:r>
        <w:rPr>
          <w:rFonts w:hint="eastAsia" w:cs="宋体" w:asciiTheme="minorEastAsia" w:hAnsiTheme="minorEastAsia"/>
          <w:b/>
          <w:sz w:val="24"/>
        </w:rPr>
        <w:t>2. 监理人义务</w:t>
      </w:r>
    </w:p>
    <w:p w14:paraId="787841FB">
      <w:pPr>
        <w:adjustRightInd w:val="0"/>
        <w:snapToGrid w:val="0"/>
        <w:spacing w:line="420" w:lineRule="exact"/>
        <w:ind w:firstLine="235" w:firstLineChars="98"/>
        <w:rPr>
          <w:rFonts w:cs="宋体" w:asciiTheme="minorEastAsia" w:hAnsiTheme="minorEastAsia"/>
          <w:sz w:val="24"/>
        </w:rPr>
      </w:pPr>
      <w:r>
        <w:rPr>
          <w:rFonts w:hint="eastAsia" w:cs="宋体" w:asciiTheme="minorEastAsia" w:hAnsiTheme="minorEastAsia"/>
          <w:sz w:val="24"/>
        </w:rPr>
        <w:t>2.1 监理的范围和</w:t>
      </w:r>
      <w:r>
        <w:rPr>
          <w:rFonts w:hint="eastAsia" w:cs="宋体" w:asciiTheme="minorEastAsia" w:hAnsiTheme="minorEastAsia"/>
          <w:bCs/>
          <w:sz w:val="24"/>
        </w:rPr>
        <w:t>内容</w:t>
      </w:r>
    </w:p>
    <w:p w14:paraId="38882FBF">
      <w:pPr>
        <w:autoSpaceDE w:val="0"/>
        <w:autoSpaceDN w:val="0"/>
        <w:adjustRightInd w:val="0"/>
        <w:spacing w:line="420" w:lineRule="exact"/>
        <w:ind w:firstLine="480" w:firstLineChars="200"/>
        <w:jc w:val="left"/>
        <w:rPr>
          <w:rFonts w:cs="宋体" w:asciiTheme="minorEastAsia" w:hAnsiTheme="minorEastAsia"/>
          <w:sz w:val="24"/>
          <w:u w:val="single"/>
        </w:rPr>
      </w:pPr>
      <w:r>
        <w:rPr>
          <w:rFonts w:hint="eastAsia" w:cs="宋体" w:asciiTheme="minorEastAsia" w:hAnsiTheme="minorEastAsia"/>
          <w:sz w:val="24"/>
        </w:rPr>
        <w:t>2.1.1 监理范围包括：</w:t>
      </w:r>
      <w:r>
        <w:rPr>
          <w:rFonts w:hint="eastAsia" w:cs="宋体" w:asciiTheme="minorEastAsia" w:hAnsiTheme="minorEastAsia"/>
          <w:sz w:val="24"/>
          <w:u w:val="single"/>
        </w:rPr>
        <w:t>工程施工阶段施工过程中的质量、进度、费用控制，安全生产监督管理、合同、信息等方面的协调管理；保修阶段的监理及相关服务。</w:t>
      </w:r>
    </w:p>
    <w:p w14:paraId="5B9C8C13">
      <w:pPr>
        <w:autoSpaceDE w:val="0"/>
        <w:autoSpaceDN w:val="0"/>
        <w:adjustRightInd w:val="0"/>
        <w:spacing w:line="420" w:lineRule="exact"/>
        <w:ind w:firstLine="480" w:firstLineChars="200"/>
        <w:jc w:val="left"/>
        <w:rPr>
          <w:rFonts w:cs="宋体" w:asciiTheme="minorEastAsia" w:hAnsiTheme="minorEastAsia"/>
          <w:sz w:val="24"/>
          <w:u w:val="single"/>
        </w:rPr>
      </w:pPr>
      <w:r>
        <w:rPr>
          <w:rFonts w:hint="eastAsia" w:cs="宋体" w:asciiTheme="minorEastAsia" w:hAnsiTheme="minorEastAsia"/>
          <w:sz w:val="24"/>
        </w:rPr>
        <w:t>2.1.2 监理工作内容还包括：</w:t>
      </w:r>
      <w:r>
        <w:rPr>
          <w:rFonts w:hint="eastAsia" w:cs="宋体" w:asciiTheme="minorEastAsia" w:hAnsiTheme="minorEastAsia"/>
          <w:sz w:val="24"/>
          <w:u w:val="single"/>
        </w:rPr>
        <w:t>/</w:t>
      </w:r>
      <w:r>
        <w:rPr>
          <w:rFonts w:hint="eastAsia" w:cs="宋体" w:asciiTheme="minorEastAsia" w:hAnsiTheme="minorEastAsia"/>
          <w:sz w:val="24"/>
        </w:rPr>
        <w:t>。</w:t>
      </w:r>
    </w:p>
    <w:p w14:paraId="1FB69F01">
      <w:pPr>
        <w:spacing w:line="420" w:lineRule="exact"/>
        <w:ind w:firstLine="235" w:firstLineChars="98"/>
        <w:rPr>
          <w:rFonts w:cs="宋体" w:asciiTheme="minorEastAsia" w:hAnsiTheme="minorEastAsia"/>
          <w:sz w:val="24"/>
        </w:rPr>
      </w:pPr>
      <w:r>
        <w:rPr>
          <w:rFonts w:hint="eastAsia" w:cs="宋体" w:asciiTheme="minorEastAsia" w:hAnsiTheme="minorEastAsia"/>
          <w:sz w:val="24"/>
        </w:rPr>
        <w:t>2.2 监理与相关服务依据</w:t>
      </w:r>
    </w:p>
    <w:p w14:paraId="3BFEA4A2">
      <w:pPr>
        <w:autoSpaceDE w:val="0"/>
        <w:autoSpaceDN w:val="0"/>
        <w:adjustRightInd w:val="0"/>
        <w:spacing w:line="420" w:lineRule="exact"/>
        <w:ind w:firstLine="480" w:firstLineChars="200"/>
        <w:jc w:val="left"/>
        <w:rPr>
          <w:rFonts w:cs="宋体" w:asciiTheme="minorEastAsia" w:hAnsiTheme="minorEastAsia"/>
          <w:sz w:val="24"/>
          <w:u w:val="single"/>
        </w:rPr>
      </w:pPr>
      <w:r>
        <w:rPr>
          <w:rFonts w:hint="eastAsia" w:cs="宋体" w:asciiTheme="minorEastAsia" w:hAnsiTheme="minorEastAsia"/>
          <w:sz w:val="24"/>
        </w:rPr>
        <w:t>2.2.1 监理依据包括：</w:t>
      </w:r>
      <w:r>
        <w:rPr>
          <w:rFonts w:hint="eastAsia" w:cs="宋体" w:asciiTheme="minorEastAsia" w:hAnsiTheme="minorEastAsia"/>
          <w:sz w:val="24"/>
          <w:u w:val="single"/>
        </w:rPr>
        <w:t>本工程监理招标文件、合同签订时，国家、地方颁发的现行有关法律、规范等，委托人与本工程监理范围和监理工作内容有关的各相关单位签订的施工合同或协议 。</w:t>
      </w:r>
    </w:p>
    <w:p w14:paraId="32FEA854">
      <w:pPr>
        <w:adjustRightInd w:val="0"/>
        <w:snapToGrid w:val="0"/>
        <w:spacing w:line="420" w:lineRule="exact"/>
        <w:ind w:firstLine="480" w:firstLineChars="200"/>
        <w:rPr>
          <w:rFonts w:cs="宋体" w:asciiTheme="minorEastAsia" w:hAnsiTheme="minorEastAsia"/>
          <w:dstrike/>
          <w:sz w:val="24"/>
        </w:rPr>
      </w:pPr>
      <w:r>
        <w:rPr>
          <w:rFonts w:hint="eastAsia" w:cs="宋体" w:asciiTheme="minorEastAsia" w:hAnsiTheme="minorEastAsia"/>
          <w:sz w:val="24"/>
        </w:rPr>
        <w:t>2.2.2 相关服务依据包括：</w:t>
      </w:r>
      <w:r>
        <w:rPr>
          <w:rFonts w:hint="eastAsia" w:cs="宋体" w:asciiTheme="minorEastAsia" w:hAnsiTheme="minorEastAsia"/>
          <w:sz w:val="24"/>
          <w:u w:val="single"/>
        </w:rPr>
        <w:t xml:space="preserve"> / </w:t>
      </w:r>
      <w:r>
        <w:rPr>
          <w:rFonts w:hint="eastAsia" w:cs="宋体" w:asciiTheme="minorEastAsia" w:hAnsiTheme="minorEastAsia"/>
          <w:sz w:val="24"/>
        </w:rPr>
        <w:t>。</w:t>
      </w:r>
    </w:p>
    <w:p w14:paraId="6E8C714F">
      <w:pPr>
        <w:autoSpaceDE w:val="0"/>
        <w:autoSpaceDN w:val="0"/>
        <w:adjustRightInd w:val="0"/>
        <w:spacing w:line="420" w:lineRule="exact"/>
        <w:jc w:val="left"/>
        <w:rPr>
          <w:rFonts w:cs="宋体" w:asciiTheme="minorEastAsia" w:hAnsiTheme="minorEastAsia"/>
          <w:sz w:val="24"/>
        </w:rPr>
      </w:pPr>
      <w:r>
        <w:rPr>
          <w:rFonts w:hint="eastAsia" w:cs="宋体" w:asciiTheme="minorEastAsia" w:hAnsiTheme="minorEastAsia"/>
          <w:sz w:val="24"/>
        </w:rPr>
        <w:t xml:space="preserve"> 2.3.1 更换监理人员的其他情形：</w:t>
      </w:r>
      <w:r>
        <w:rPr>
          <w:rFonts w:hint="eastAsia" w:cs="宋体" w:asciiTheme="minorEastAsia" w:hAnsiTheme="minorEastAsia"/>
          <w:sz w:val="24"/>
          <w:u w:val="single"/>
        </w:rPr>
        <w:t xml:space="preserve">    /           </w:t>
      </w:r>
      <w:r>
        <w:rPr>
          <w:rFonts w:hint="eastAsia" w:cs="宋体" w:asciiTheme="minorEastAsia" w:hAnsiTheme="minorEastAsia"/>
          <w:sz w:val="24"/>
        </w:rPr>
        <w:t xml:space="preserve">  。</w:t>
      </w:r>
    </w:p>
    <w:p w14:paraId="1CE3D8E4">
      <w:pPr>
        <w:spacing w:line="420" w:lineRule="exact"/>
        <w:rPr>
          <w:rFonts w:cs="宋体" w:asciiTheme="minorEastAsia" w:hAnsiTheme="minorEastAsia"/>
          <w:kern w:val="0"/>
          <w:sz w:val="24"/>
        </w:rPr>
      </w:pPr>
      <w:r>
        <w:rPr>
          <w:rFonts w:hint="eastAsia" w:cs="宋体" w:asciiTheme="minorEastAsia" w:hAnsiTheme="minorEastAsia"/>
          <w:kern w:val="0"/>
          <w:sz w:val="24"/>
        </w:rPr>
        <w:t>2.4 履行职责</w:t>
      </w:r>
    </w:p>
    <w:p w14:paraId="6C045999">
      <w:pPr>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2.4.1 对监理人的授权范围</w:t>
      </w:r>
      <w:r>
        <w:rPr>
          <w:rFonts w:hint="eastAsia" w:cs="宋体" w:asciiTheme="minorEastAsia" w:hAnsiTheme="minorEastAsia"/>
          <w:kern w:val="0"/>
          <w:sz w:val="24"/>
          <w:u w:val="single"/>
        </w:rPr>
        <w:t>按监理合同相关服务条款执行</w:t>
      </w:r>
      <w:r>
        <w:rPr>
          <w:rFonts w:hint="eastAsia" w:cs="宋体" w:asciiTheme="minorEastAsia" w:hAnsiTheme="minorEastAsia"/>
          <w:kern w:val="0"/>
          <w:sz w:val="24"/>
        </w:rPr>
        <w:t xml:space="preserve"> 。</w:t>
      </w:r>
    </w:p>
    <w:p w14:paraId="7DEE3A50">
      <w:pPr>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 xml:space="preserve">在涉及工程延期 </w:t>
      </w:r>
      <w:r>
        <w:rPr>
          <w:rFonts w:hint="eastAsia" w:cs="宋体" w:asciiTheme="minorEastAsia" w:hAnsiTheme="minorEastAsia"/>
          <w:kern w:val="0"/>
          <w:sz w:val="24"/>
          <w:u w:val="single"/>
        </w:rPr>
        <w:t xml:space="preserve"> /  天</w:t>
      </w:r>
      <w:r>
        <w:rPr>
          <w:rFonts w:hint="eastAsia" w:cs="宋体" w:asciiTheme="minorEastAsia" w:hAnsiTheme="minorEastAsia"/>
          <w:kern w:val="0"/>
          <w:sz w:val="24"/>
        </w:rPr>
        <w:t xml:space="preserve">内和（或）金额 </w:t>
      </w:r>
      <w:r>
        <w:rPr>
          <w:rFonts w:hint="eastAsia" w:cs="宋体" w:asciiTheme="minorEastAsia" w:hAnsiTheme="minorEastAsia"/>
          <w:kern w:val="0"/>
          <w:sz w:val="24"/>
          <w:u w:val="single"/>
        </w:rPr>
        <w:t xml:space="preserve"> ×  </w:t>
      </w:r>
      <w:r>
        <w:rPr>
          <w:rFonts w:hint="eastAsia" w:cs="宋体" w:asciiTheme="minorEastAsia" w:hAnsiTheme="minorEastAsia"/>
          <w:kern w:val="0"/>
          <w:sz w:val="24"/>
        </w:rPr>
        <w:t>万元内的变更，监理人不需请示委托人即可向承包人发布变更通知。</w:t>
      </w:r>
    </w:p>
    <w:p w14:paraId="37401975">
      <w:pPr>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2.4.2 监理人有权要求承包人调换其人员的限制条件：</w:t>
      </w:r>
      <w:r>
        <w:rPr>
          <w:rFonts w:hint="eastAsia" w:cs="宋体" w:asciiTheme="minorEastAsia" w:hAnsiTheme="minorEastAsia"/>
          <w:kern w:val="0"/>
          <w:sz w:val="24"/>
          <w:u w:val="single"/>
        </w:rPr>
        <w:t>报委托人同意</w:t>
      </w:r>
      <w:r>
        <w:rPr>
          <w:rFonts w:hint="eastAsia" w:cs="宋体" w:asciiTheme="minorEastAsia" w:hAnsiTheme="minorEastAsia"/>
          <w:kern w:val="0"/>
          <w:sz w:val="24"/>
        </w:rPr>
        <w:t xml:space="preserve">。  </w:t>
      </w:r>
    </w:p>
    <w:p w14:paraId="311D63DD">
      <w:pPr>
        <w:spacing w:line="420" w:lineRule="exact"/>
        <w:rPr>
          <w:rFonts w:cs="宋体" w:asciiTheme="minorEastAsia" w:hAnsiTheme="minorEastAsia"/>
          <w:kern w:val="0"/>
          <w:sz w:val="24"/>
        </w:rPr>
      </w:pPr>
      <w:r>
        <w:rPr>
          <w:rFonts w:hint="eastAsia" w:cs="宋体" w:asciiTheme="minorEastAsia" w:hAnsiTheme="minorEastAsia"/>
          <w:kern w:val="0"/>
          <w:sz w:val="24"/>
        </w:rPr>
        <w:t>2.5 提交报告</w:t>
      </w:r>
    </w:p>
    <w:p w14:paraId="4F8CDE44">
      <w:pPr>
        <w:adjustRightInd w:val="0"/>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监理人应提交报告的种类(包括监理规划、监理月报及约定的专项报告)、时间和份数：</w:t>
      </w:r>
      <w:r>
        <w:rPr>
          <w:rFonts w:hint="eastAsia" w:cs="宋体" w:asciiTheme="minorEastAsia" w:hAnsiTheme="minorEastAsia"/>
          <w:kern w:val="0"/>
          <w:sz w:val="24"/>
          <w:u w:val="single"/>
        </w:rPr>
        <w:t>监理规划的提交为监理进场后7天内，监理月报的提交应在每月的25日前，份数1份</w:t>
      </w:r>
      <w:r>
        <w:rPr>
          <w:rFonts w:hint="eastAsia" w:cs="宋体" w:asciiTheme="minorEastAsia" w:hAnsiTheme="minorEastAsia"/>
          <w:kern w:val="0"/>
          <w:sz w:val="24"/>
        </w:rPr>
        <w:t>。</w:t>
      </w:r>
    </w:p>
    <w:p w14:paraId="6A37AD65">
      <w:pPr>
        <w:spacing w:line="420" w:lineRule="exact"/>
        <w:rPr>
          <w:rFonts w:cs="宋体" w:asciiTheme="minorEastAsia" w:hAnsiTheme="minorEastAsia"/>
          <w:kern w:val="0"/>
          <w:sz w:val="24"/>
        </w:rPr>
      </w:pPr>
      <w:r>
        <w:rPr>
          <w:rFonts w:hint="eastAsia" w:cs="宋体" w:asciiTheme="minorEastAsia" w:hAnsiTheme="minorEastAsia"/>
          <w:kern w:val="0"/>
          <w:sz w:val="24"/>
        </w:rPr>
        <w:t xml:space="preserve"> 2.6 使用委托人的财产</w:t>
      </w:r>
    </w:p>
    <w:p w14:paraId="7503DB99">
      <w:pPr>
        <w:spacing w:line="420" w:lineRule="exact"/>
        <w:rPr>
          <w:rFonts w:cs="宋体" w:asciiTheme="minorEastAsia" w:hAnsiTheme="minorEastAsia"/>
          <w:kern w:val="0"/>
          <w:sz w:val="24"/>
        </w:rPr>
      </w:pPr>
      <w:r>
        <w:rPr>
          <w:rFonts w:hint="eastAsia" w:cs="宋体" w:asciiTheme="minorEastAsia" w:hAnsiTheme="minorEastAsia"/>
          <w:kern w:val="0"/>
          <w:sz w:val="24"/>
        </w:rPr>
        <w:t xml:space="preserve">     附录B中由委托人无偿提供的房屋、设备的所有权属于： </w:t>
      </w:r>
      <w:r>
        <w:rPr>
          <w:rFonts w:hint="eastAsia" w:cs="宋体" w:asciiTheme="minorEastAsia" w:hAnsiTheme="minorEastAsia"/>
          <w:kern w:val="0"/>
          <w:sz w:val="24"/>
          <w:u w:val="single"/>
        </w:rPr>
        <w:t xml:space="preserve">委托人 </w:t>
      </w:r>
      <w:r>
        <w:rPr>
          <w:rFonts w:hint="eastAsia" w:cs="宋体" w:asciiTheme="minorEastAsia" w:hAnsiTheme="minorEastAsia"/>
          <w:kern w:val="0"/>
          <w:sz w:val="24"/>
        </w:rPr>
        <w:t>。</w:t>
      </w:r>
    </w:p>
    <w:p w14:paraId="300C699B">
      <w:pPr>
        <w:spacing w:line="420" w:lineRule="exact"/>
        <w:ind w:firstLine="480" w:firstLineChars="200"/>
        <w:rPr>
          <w:rFonts w:cs="宋体" w:asciiTheme="minorEastAsia" w:hAnsiTheme="minorEastAsia"/>
          <w:kern w:val="0"/>
          <w:sz w:val="24"/>
          <w:u w:val="single"/>
        </w:rPr>
      </w:pPr>
      <w:r>
        <w:rPr>
          <w:rFonts w:hint="eastAsia" w:cs="宋体" w:asciiTheme="minorEastAsia" w:hAnsiTheme="minorEastAsia"/>
          <w:kern w:val="0"/>
          <w:sz w:val="24"/>
        </w:rPr>
        <w:t>监理人应在本合同终止后</w:t>
      </w:r>
      <w:r>
        <w:rPr>
          <w:rFonts w:hint="eastAsia" w:cs="宋体" w:asciiTheme="minorEastAsia" w:hAnsiTheme="minorEastAsia"/>
          <w:kern w:val="0"/>
          <w:sz w:val="24"/>
          <w:u w:val="single"/>
        </w:rPr>
        <w:t xml:space="preserve"> 7  </w:t>
      </w:r>
      <w:r>
        <w:rPr>
          <w:rFonts w:hint="eastAsia" w:cs="宋体" w:asciiTheme="minorEastAsia" w:hAnsiTheme="minorEastAsia"/>
          <w:kern w:val="0"/>
          <w:sz w:val="24"/>
        </w:rPr>
        <w:t>天内移交委托人无偿提供的房屋、设备，移交的时间和方式为：</w:t>
      </w:r>
      <w:r>
        <w:rPr>
          <w:rFonts w:hint="eastAsia" w:cs="宋体" w:asciiTheme="minorEastAsia" w:hAnsiTheme="minorEastAsia"/>
          <w:kern w:val="0"/>
          <w:sz w:val="24"/>
          <w:u w:val="single"/>
        </w:rPr>
        <w:t xml:space="preserve">  现场移交 。</w:t>
      </w:r>
    </w:p>
    <w:p w14:paraId="673C1DDF">
      <w:pPr>
        <w:spacing w:line="420" w:lineRule="exact"/>
        <w:rPr>
          <w:rFonts w:cs="宋体" w:asciiTheme="minorEastAsia" w:hAnsiTheme="minorEastAsia"/>
          <w:kern w:val="0"/>
          <w:sz w:val="24"/>
        </w:rPr>
      </w:pPr>
      <w:r>
        <w:rPr>
          <w:rFonts w:hint="eastAsia" w:cs="宋体" w:asciiTheme="minorEastAsia" w:hAnsiTheme="minorEastAsia"/>
          <w:kern w:val="0"/>
          <w:sz w:val="24"/>
        </w:rPr>
        <w:t xml:space="preserve">3. 委托人义务  </w:t>
      </w:r>
    </w:p>
    <w:p w14:paraId="0852E78E">
      <w:pPr>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3.1 委托人代表</w:t>
      </w:r>
    </w:p>
    <w:p w14:paraId="6F89E981">
      <w:pPr>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委托人代表为：</w:t>
      </w:r>
      <w:r>
        <w:rPr>
          <w:rFonts w:hint="eastAsia" w:cs="宋体" w:asciiTheme="minorEastAsia" w:hAnsiTheme="minorEastAsia"/>
          <w:kern w:val="0"/>
          <w:sz w:val="24"/>
          <w:u w:val="single"/>
        </w:rPr>
        <w:t xml:space="preserve">       </w:t>
      </w:r>
      <w:r>
        <w:rPr>
          <w:rFonts w:hint="eastAsia" w:cs="宋体" w:asciiTheme="minorEastAsia" w:hAnsiTheme="minorEastAsia"/>
          <w:kern w:val="0"/>
          <w:sz w:val="24"/>
        </w:rPr>
        <w:t>。</w:t>
      </w:r>
    </w:p>
    <w:p w14:paraId="18CFFF8A">
      <w:pPr>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3.2 答复</w:t>
      </w:r>
    </w:p>
    <w:p w14:paraId="7E8B0667">
      <w:pPr>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 xml:space="preserve">委托人同意在 </w:t>
      </w:r>
      <w:r>
        <w:rPr>
          <w:rFonts w:hint="eastAsia" w:cs="宋体" w:asciiTheme="minorEastAsia" w:hAnsiTheme="minorEastAsia"/>
          <w:kern w:val="0"/>
          <w:sz w:val="24"/>
          <w:u w:val="single"/>
        </w:rPr>
        <w:t xml:space="preserve"> 3  </w:t>
      </w:r>
      <w:r>
        <w:rPr>
          <w:rFonts w:hint="eastAsia" w:cs="宋体" w:asciiTheme="minorEastAsia" w:hAnsiTheme="minorEastAsia"/>
          <w:kern w:val="0"/>
          <w:sz w:val="24"/>
        </w:rPr>
        <w:t>天内，对监理人书面提交并要求做出决定的事宜给予书面答复。</w:t>
      </w:r>
    </w:p>
    <w:p w14:paraId="3681A33E">
      <w:pPr>
        <w:spacing w:line="420" w:lineRule="exact"/>
        <w:rPr>
          <w:rFonts w:cs="宋体" w:asciiTheme="minorEastAsia" w:hAnsiTheme="minorEastAsia"/>
          <w:kern w:val="0"/>
          <w:sz w:val="24"/>
        </w:rPr>
      </w:pPr>
      <w:r>
        <w:rPr>
          <w:rFonts w:hint="eastAsia" w:cs="宋体" w:asciiTheme="minorEastAsia" w:hAnsiTheme="minorEastAsia"/>
          <w:kern w:val="0"/>
          <w:sz w:val="24"/>
        </w:rPr>
        <w:t>4. 违约责任</w:t>
      </w:r>
    </w:p>
    <w:p w14:paraId="266044E3">
      <w:pPr>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4.1 监理人的违约责任</w:t>
      </w:r>
    </w:p>
    <w:p w14:paraId="563F7741">
      <w:pPr>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4.1.1监理人赔偿金额按下列方法确定：</w:t>
      </w:r>
    </w:p>
    <w:p w14:paraId="5BCEDAB1">
      <w:pPr>
        <w:spacing w:line="420" w:lineRule="exact"/>
        <w:rPr>
          <w:rFonts w:cs="宋体" w:asciiTheme="minorEastAsia" w:hAnsiTheme="minorEastAsia"/>
          <w:kern w:val="0"/>
          <w:sz w:val="24"/>
        </w:rPr>
      </w:pPr>
      <w:r>
        <w:rPr>
          <w:rFonts w:hint="eastAsia" w:cs="宋体" w:asciiTheme="minorEastAsia" w:hAnsiTheme="minorEastAsia"/>
          <w:kern w:val="0"/>
          <w:sz w:val="24"/>
        </w:rPr>
        <w:t>赔偿金＝直接经济损失×正常工作酬金÷工程概算投资额（或建筑安装工程费）</w:t>
      </w:r>
    </w:p>
    <w:p w14:paraId="29A8AF97">
      <w:pPr>
        <w:spacing w:line="420" w:lineRule="exact"/>
        <w:rPr>
          <w:rFonts w:cs="宋体" w:asciiTheme="minorEastAsia" w:hAnsiTheme="minorEastAsia"/>
          <w:kern w:val="0"/>
          <w:sz w:val="24"/>
        </w:rPr>
      </w:pPr>
      <w:r>
        <w:rPr>
          <w:rFonts w:hint="eastAsia" w:cs="宋体" w:asciiTheme="minorEastAsia" w:hAnsiTheme="minorEastAsia"/>
          <w:kern w:val="0"/>
          <w:sz w:val="24"/>
        </w:rPr>
        <w:t>4.2 委托人的违约责任</w:t>
      </w:r>
    </w:p>
    <w:p w14:paraId="4764EDED">
      <w:pPr>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4.2.1 委托人逾期付款利息按下列方法确定：</w:t>
      </w:r>
    </w:p>
    <w:p w14:paraId="06086E2D">
      <w:pPr>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逾期付款利息＝当期应付款总额×银行同期贷款利率×拖延支付天数</w:t>
      </w:r>
    </w:p>
    <w:p w14:paraId="0C7755FE">
      <w:pPr>
        <w:spacing w:line="420" w:lineRule="exact"/>
        <w:rPr>
          <w:rFonts w:cs="宋体" w:asciiTheme="minorEastAsia" w:hAnsiTheme="minorEastAsia"/>
          <w:kern w:val="0"/>
          <w:sz w:val="24"/>
        </w:rPr>
      </w:pPr>
      <w:r>
        <w:rPr>
          <w:rFonts w:hint="eastAsia" w:cs="宋体" w:asciiTheme="minorEastAsia" w:hAnsiTheme="minorEastAsia"/>
          <w:kern w:val="0"/>
          <w:sz w:val="24"/>
        </w:rPr>
        <w:t>5. 支付</w:t>
      </w:r>
    </w:p>
    <w:p w14:paraId="592ABA1A">
      <w:pPr>
        <w:spacing w:line="420" w:lineRule="exact"/>
        <w:rPr>
          <w:rFonts w:cs="宋体" w:asciiTheme="minorEastAsia" w:hAnsiTheme="minorEastAsia"/>
          <w:kern w:val="0"/>
          <w:sz w:val="24"/>
        </w:rPr>
      </w:pPr>
      <w:r>
        <w:rPr>
          <w:rFonts w:hint="eastAsia" w:cs="宋体" w:asciiTheme="minorEastAsia" w:hAnsiTheme="minorEastAsia"/>
          <w:kern w:val="0"/>
          <w:sz w:val="24"/>
        </w:rPr>
        <w:t>5.1 支付货币</w:t>
      </w:r>
    </w:p>
    <w:p w14:paraId="57326690">
      <w:pPr>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币种为：</w:t>
      </w:r>
      <w:r>
        <w:rPr>
          <w:rFonts w:hint="eastAsia" w:cs="宋体" w:asciiTheme="minorEastAsia" w:hAnsiTheme="minorEastAsia"/>
          <w:kern w:val="0"/>
          <w:sz w:val="24"/>
          <w:u w:val="single"/>
        </w:rPr>
        <w:t xml:space="preserve"> 人民币</w:t>
      </w:r>
      <w:r>
        <w:rPr>
          <w:rFonts w:hint="eastAsia" w:cs="宋体" w:asciiTheme="minorEastAsia" w:hAnsiTheme="minorEastAsia"/>
          <w:kern w:val="0"/>
          <w:sz w:val="24"/>
        </w:rPr>
        <w:t xml:space="preserve">   。 </w:t>
      </w:r>
    </w:p>
    <w:p w14:paraId="43958A77">
      <w:pPr>
        <w:spacing w:line="420" w:lineRule="exact"/>
        <w:rPr>
          <w:rFonts w:cs="宋体" w:asciiTheme="minorEastAsia" w:hAnsiTheme="minorEastAsia"/>
          <w:kern w:val="0"/>
          <w:sz w:val="24"/>
        </w:rPr>
      </w:pPr>
      <w:r>
        <w:rPr>
          <w:rFonts w:hint="eastAsia" w:cs="宋体" w:asciiTheme="minorEastAsia" w:hAnsiTheme="minorEastAsia"/>
          <w:kern w:val="0"/>
          <w:sz w:val="24"/>
        </w:rPr>
        <w:t xml:space="preserve">5.2 支付酬金                                                                                                                                                                                                                     </w:t>
      </w:r>
    </w:p>
    <w:p w14:paraId="5AEDBD23">
      <w:pPr>
        <w:spacing w:line="420" w:lineRule="exact"/>
        <w:rPr>
          <w:rFonts w:cs="宋体" w:asciiTheme="minorEastAsia" w:hAnsiTheme="minorEastAsia"/>
          <w:kern w:val="0"/>
          <w:sz w:val="24"/>
        </w:rPr>
      </w:pPr>
      <w:r>
        <w:rPr>
          <w:rFonts w:hint="eastAsia" w:cs="宋体" w:asciiTheme="minorEastAsia" w:hAnsiTheme="minorEastAsia"/>
          <w:kern w:val="0"/>
          <w:sz w:val="24"/>
        </w:rPr>
        <w:t>正常工作酬金的支付：</w:t>
      </w:r>
    </w:p>
    <w:p w14:paraId="7D4E380B">
      <w:pPr>
        <w:numPr>
          <w:ilvl w:val="0"/>
          <w:numId w:val="3"/>
        </w:numPr>
        <w:autoSpaceDE w:val="0"/>
        <w:autoSpaceDN w:val="0"/>
        <w:adjustRightInd w:val="0"/>
        <w:spacing w:line="420" w:lineRule="exact"/>
        <w:ind w:firstLine="480" w:firstLineChars="200"/>
        <w:jc w:val="left"/>
        <w:rPr>
          <w:rFonts w:cs="宋体" w:asciiTheme="minorEastAsia" w:hAnsiTheme="minorEastAsia"/>
          <w:b w:val="0"/>
          <w:bCs w:val="0"/>
          <w:sz w:val="24"/>
          <w:highlight w:val="none"/>
          <w:u w:val="single"/>
        </w:rPr>
      </w:pPr>
      <w:r>
        <w:rPr>
          <w:rFonts w:hint="eastAsia" w:cs="宋体" w:asciiTheme="minorEastAsia" w:hAnsiTheme="minorEastAsia"/>
          <w:b w:val="0"/>
          <w:bCs w:val="0"/>
          <w:sz w:val="24"/>
          <w:highlight w:val="none"/>
          <w:u w:val="single"/>
        </w:rPr>
        <w:t>合同签订后，监理人按照合同金额的10%开具发票，委托人收到后10个工作日内作为预付款支付。</w:t>
      </w:r>
    </w:p>
    <w:p w14:paraId="6D7DD39C">
      <w:pPr>
        <w:numPr>
          <w:ilvl w:val="0"/>
          <w:numId w:val="3"/>
        </w:numPr>
        <w:autoSpaceDE w:val="0"/>
        <w:autoSpaceDN w:val="0"/>
        <w:adjustRightInd w:val="0"/>
        <w:spacing w:line="420" w:lineRule="exact"/>
        <w:ind w:firstLine="480" w:firstLineChars="200"/>
        <w:jc w:val="left"/>
        <w:rPr>
          <w:rFonts w:cs="宋体" w:asciiTheme="minorEastAsia" w:hAnsiTheme="minorEastAsia"/>
          <w:b w:val="0"/>
          <w:bCs w:val="0"/>
          <w:sz w:val="24"/>
          <w:highlight w:val="none"/>
          <w:u w:val="single"/>
        </w:rPr>
      </w:pPr>
      <w:r>
        <w:rPr>
          <w:rFonts w:hint="eastAsia" w:cs="宋体" w:asciiTheme="minorEastAsia" w:hAnsiTheme="minorEastAsia"/>
          <w:b w:val="0"/>
          <w:bCs w:val="0"/>
          <w:sz w:val="24"/>
          <w:highlight w:val="none"/>
          <w:u w:val="single"/>
        </w:rPr>
        <w:t>工程实施期间，委托人向监理人支付当期完成量监理费的50%；</w:t>
      </w:r>
    </w:p>
    <w:p w14:paraId="0F2BF718">
      <w:pPr>
        <w:numPr>
          <w:ilvl w:val="0"/>
          <w:numId w:val="3"/>
        </w:numPr>
        <w:autoSpaceDE w:val="0"/>
        <w:autoSpaceDN w:val="0"/>
        <w:adjustRightInd w:val="0"/>
        <w:spacing w:line="420" w:lineRule="exact"/>
        <w:ind w:firstLine="480" w:firstLineChars="200"/>
        <w:jc w:val="left"/>
        <w:rPr>
          <w:rFonts w:cs="宋体" w:asciiTheme="minorEastAsia" w:hAnsiTheme="minorEastAsia"/>
          <w:b w:val="0"/>
          <w:bCs w:val="0"/>
          <w:sz w:val="24"/>
          <w:highlight w:val="none"/>
          <w:u w:val="single"/>
        </w:rPr>
      </w:pPr>
      <w:r>
        <w:rPr>
          <w:rFonts w:hint="eastAsia" w:cs="宋体" w:asciiTheme="minorEastAsia" w:hAnsiTheme="minorEastAsia"/>
          <w:b w:val="0"/>
          <w:bCs w:val="0"/>
          <w:sz w:val="24"/>
          <w:highlight w:val="none"/>
          <w:u w:val="single"/>
        </w:rPr>
        <w:t>工程完工验收后，委托人向监理人支付到当期完成监理费的65%；</w:t>
      </w:r>
    </w:p>
    <w:p w14:paraId="24B30B18">
      <w:pPr>
        <w:numPr>
          <w:ilvl w:val="0"/>
          <w:numId w:val="3"/>
        </w:numPr>
        <w:autoSpaceDE w:val="0"/>
        <w:autoSpaceDN w:val="0"/>
        <w:adjustRightInd w:val="0"/>
        <w:spacing w:line="420" w:lineRule="exact"/>
        <w:ind w:firstLine="480" w:firstLineChars="200"/>
        <w:jc w:val="left"/>
        <w:rPr>
          <w:rFonts w:cs="宋体" w:asciiTheme="minorEastAsia" w:hAnsiTheme="minorEastAsia"/>
          <w:b w:val="0"/>
          <w:bCs w:val="0"/>
          <w:sz w:val="24"/>
          <w:highlight w:val="none"/>
          <w:u w:val="single"/>
        </w:rPr>
      </w:pPr>
      <w:r>
        <w:rPr>
          <w:rFonts w:hint="eastAsia" w:cs="宋体" w:asciiTheme="minorEastAsia" w:hAnsiTheme="minorEastAsia"/>
          <w:b w:val="0"/>
          <w:bCs w:val="0"/>
          <w:sz w:val="24"/>
          <w:highlight w:val="none"/>
          <w:u w:val="single"/>
        </w:rPr>
        <w:t>工程竣工验收合格满一年并经工程审计结束后，委托人向监理人支付至最终监理费的90%；</w:t>
      </w:r>
    </w:p>
    <w:p w14:paraId="03BD541D">
      <w:pPr>
        <w:numPr>
          <w:ilvl w:val="0"/>
          <w:numId w:val="3"/>
        </w:numPr>
        <w:autoSpaceDE w:val="0"/>
        <w:autoSpaceDN w:val="0"/>
        <w:adjustRightInd w:val="0"/>
        <w:spacing w:line="420" w:lineRule="exact"/>
        <w:ind w:firstLine="480" w:firstLineChars="200"/>
        <w:jc w:val="left"/>
        <w:rPr>
          <w:rFonts w:cs="宋体" w:asciiTheme="minorEastAsia" w:hAnsiTheme="minorEastAsia"/>
          <w:b w:val="0"/>
          <w:bCs w:val="0"/>
          <w:sz w:val="24"/>
          <w:highlight w:val="none"/>
          <w:u w:val="single"/>
        </w:rPr>
      </w:pPr>
      <w:r>
        <w:rPr>
          <w:rFonts w:hint="eastAsia" w:cs="宋体" w:asciiTheme="minorEastAsia" w:hAnsiTheme="minorEastAsia"/>
          <w:b w:val="0"/>
          <w:bCs w:val="0"/>
          <w:sz w:val="24"/>
          <w:highlight w:val="none"/>
          <w:u w:val="single"/>
        </w:rPr>
        <w:t>满两年后付清余款。</w:t>
      </w:r>
    </w:p>
    <w:p w14:paraId="11509F73">
      <w:pPr>
        <w:autoSpaceDE w:val="0"/>
        <w:autoSpaceDN w:val="0"/>
        <w:adjustRightInd w:val="0"/>
        <w:spacing w:line="420" w:lineRule="exact"/>
        <w:ind w:firstLine="480" w:firstLineChars="200"/>
        <w:jc w:val="left"/>
        <w:rPr>
          <w:rFonts w:cs="宋体" w:asciiTheme="minorEastAsia" w:hAnsiTheme="minorEastAsia"/>
          <w:sz w:val="24"/>
          <w:u w:val="single"/>
        </w:rPr>
      </w:pPr>
      <w:r>
        <w:rPr>
          <w:rFonts w:hint="eastAsia" w:cs="宋体" w:asciiTheme="minorEastAsia" w:hAnsiTheme="minorEastAsia"/>
          <w:sz w:val="24"/>
          <w:u w:val="single"/>
        </w:rPr>
        <w:t>监理费采用固定费率的结算方式，最终价格以本项目财务决算审计后的实际工程造价为计算基数，根据中标费率按时结算，且结算上限不超过本项目招标控制价。</w:t>
      </w:r>
    </w:p>
    <w:p w14:paraId="5D01BA1E">
      <w:pPr>
        <w:tabs>
          <w:tab w:val="left" w:pos="1800"/>
          <w:tab w:val="left" w:pos="1980"/>
          <w:tab w:val="left" w:pos="2160"/>
        </w:tabs>
        <w:spacing w:line="410" w:lineRule="exact"/>
        <w:ind w:firstLine="480" w:firstLineChars="200"/>
        <w:rPr>
          <w:rFonts w:cs="宋体" w:asciiTheme="minorEastAsia" w:hAnsiTheme="minorEastAsia"/>
          <w:sz w:val="24"/>
          <w:u w:val="single"/>
        </w:rPr>
      </w:pPr>
      <w:r>
        <w:rPr>
          <w:rFonts w:hint="eastAsia" w:cs="宋体" w:asciiTheme="minorEastAsia" w:hAnsiTheme="minorEastAsia"/>
          <w:sz w:val="24"/>
          <w:u w:val="single"/>
        </w:rPr>
        <w:t>委托人付款前，监理人开具增值税专用发票,若未按约定提供合规发票，委托人有权停止付款，由此产生的多缴税费，由监理人承担。若因国家税收政策变化，造成税率变化的，不含税金额不变，委托人最终付款义务按税率变化后的增值税专用发票价税合计金额为准。</w:t>
      </w:r>
    </w:p>
    <w:p w14:paraId="264E0BB5">
      <w:pPr>
        <w:autoSpaceDE w:val="0"/>
        <w:autoSpaceDN w:val="0"/>
        <w:adjustRightInd w:val="0"/>
        <w:spacing w:line="420" w:lineRule="exact"/>
        <w:ind w:firstLine="480" w:firstLineChars="200"/>
        <w:jc w:val="left"/>
        <w:rPr>
          <w:rFonts w:cs="宋体" w:asciiTheme="minorEastAsia" w:hAnsiTheme="minorEastAsia"/>
          <w:sz w:val="24"/>
          <w:u w:val="single"/>
        </w:rPr>
      </w:pPr>
      <w:r>
        <w:rPr>
          <w:rFonts w:hint="eastAsia" w:cs="宋体" w:asciiTheme="minorEastAsia" w:hAnsiTheme="minorEastAsia"/>
          <w:sz w:val="24"/>
          <w:u w:val="single"/>
        </w:rPr>
        <w:t>本项目系财政投资项目。根据丹徒区财政局年度资金预算情况可适当调整，如财政部门安排和到账的工程建设资金未能及时达到甲方账户，甲方有义务积极催要，但不承担应付款的滞纳金和违约责任。</w:t>
      </w:r>
    </w:p>
    <w:p w14:paraId="1B23ED6E">
      <w:pPr>
        <w:spacing w:line="420" w:lineRule="exact"/>
        <w:rPr>
          <w:rFonts w:cs="宋体" w:asciiTheme="minorEastAsia" w:hAnsiTheme="minorEastAsia"/>
          <w:kern w:val="0"/>
          <w:sz w:val="24"/>
        </w:rPr>
      </w:pPr>
      <w:r>
        <w:rPr>
          <w:rFonts w:hint="eastAsia" w:cs="宋体" w:asciiTheme="minorEastAsia" w:hAnsiTheme="minorEastAsia"/>
          <w:kern w:val="0"/>
          <w:sz w:val="24"/>
        </w:rPr>
        <w:t>6. 合同生效、变更、暂停、解除与终止</w:t>
      </w:r>
    </w:p>
    <w:p w14:paraId="4C586429">
      <w:pPr>
        <w:spacing w:line="420" w:lineRule="exact"/>
        <w:rPr>
          <w:rFonts w:cs="宋体" w:asciiTheme="minorEastAsia" w:hAnsiTheme="minorEastAsia"/>
          <w:kern w:val="0"/>
          <w:sz w:val="24"/>
        </w:rPr>
      </w:pPr>
      <w:r>
        <w:rPr>
          <w:rFonts w:hint="eastAsia" w:cs="宋体" w:asciiTheme="minorEastAsia" w:hAnsiTheme="minorEastAsia"/>
          <w:kern w:val="0"/>
          <w:sz w:val="24"/>
        </w:rPr>
        <w:t>6.1 生效</w:t>
      </w:r>
    </w:p>
    <w:p w14:paraId="76075281">
      <w:pPr>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本合同生效条件：</w:t>
      </w:r>
      <w:r>
        <w:rPr>
          <w:rFonts w:hint="eastAsia" w:cs="宋体" w:asciiTheme="minorEastAsia" w:hAnsiTheme="minorEastAsia"/>
          <w:kern w:val="0"/>
          <w:sz w:val="24"/>
          <w:u w:val="single"/>
        </w:rPr>
        <w:t>双方盖章后生效</w:t>
      </w:r>
      <w:r>
        <w:rPr>
          <w:rFonts w:hint="eastAsia" w:cs="宋体" w:asciiTheme="minorEastAsia" w:hAnsiTheme="minorEastAsia"/>
          <w:kern w:val="0"/>
          <w:sz w:val="24"/>
        </w:rPr>
        <w:t>。</w:t>
      </w:r>
    </w:p>
    <w:p w14:paraId="11F5285C">
      <w:pPr>
        <w:spacing w:line="420" w:lineRule="exact"/>
        <w:rPr>
          <w:rFonts w:cs="宋体" w:asciiTheme="minorEastAsia" w:hAnsiTheme="minorEastAsia"/>
          <w:kern w:val="0"/>
          <w:sz w:val="24"/>
        </w:rPr>
      </w:pPr>
      <w:r>
        <w:rPr>
          <w:rFonts w:hint="eastAsia" w:cs="宋体" w:asciiTheme="minorEastAsia" w:hAnsiTheme="minorEastAsia"/>
          <w:kern w:val="0"/>
          <w:sz w:val="24"/>
        </w:rPr>
        <w:t>6.2 变更</w:t>
      </w:r>
    </w:p>
    <w:p w14:paraId="051A10E4">
      <w:pPr>
        <w:adjustRightInd w:val="0"/>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6.2.1附加工作酬金按下列方法确定：</w:t>
      </w:r>
    </w:p>
    <w:p w14:paraId="5406A889">
      <w:pPr>
        <w:adjustRightInd w:val="0"/>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附加工作酬金=善后工作及恢复服务的准备工作时间（天）×正常工作酬金÷协议书约定的监理与相关服务期限（天）</w:t>
      </w:r>
    </w:p>
    <w:p w14:paraId="1E7C61F8">
      <w:pPr>
        <w:adjustRightInd w:val="0"/>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 xml:space="preserve">6.2.2 正常工作酬金增加额按下列方法确定： </w:t>
      </w:r>
    </w:p>
    <w:p w14:paraId="24C72489">
      <w:pPr>
        <w:adjustRightInd w:val="0"/>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正常工作酬金增加额=工程投资额或建筑安装工程费增加额×正常工作酬金÷工程概算投资额（或建筑安装工程费）</w:t>
      </w:r>
    </w:p>
    <w:p w14:paraId="06D17384">
      <w:pPr>
        <w:adjustRightInd w:val="0"/>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6.2.3 因工程规模、监理范围的变化导致监理人的正常工作量减少时，按减少工作量的比例从协议书约定的正常工作酬金中扣减相同比例的酬金。</w:t>
      </w:r>
    </w:p>
    <w:p w14:paraId="2C4936F7">
      <w:pPr>
        <w:spacing w:line="420" w:lineRule="exact"/>
        <w:rPr>
          <w:rFonts w:cs="宋体" w:asciiTheme="minorEastAsia" w:hAnsiTheme="minorEastAsia"/>
          <w:kern w:val="0"/>
          <w:sz w:val="24"/>
        </w:rPr>
      </w:pPr>
      <w:r>
        <w:rPr>
          <w:rFonts w:hint="eastAsia" w:cs="宋体" w:asciiTheme="minorEastAsia" w:hAnsiTheme="minorEastAsia"/>
          <w:kern w:val="0"/>
          <w:sz w:val="24"/>
        </w:rPr>
        <w:t>7. 争议解决</w:t>
      </w:r>
    </w:p>
    <w:p w14:paraId="0FCE7B6C">
      <w:pPr>
        <w:spacing w:line="420" w:lineRule="exact"/>
        <w:rPr>
          <w:rFonts w:cs="宋体" w:asciiTheme="minorEastAsia" w:hAnsiTheme="minorEastAsia"/>
          <w:kern w:val="0"/>
          <w:sz w:val="24"/>
        </w:rPr>
      </w:pPr>
      <w:r>
        <w:rPr>
          <w:rFonts w:hint="eastAsia" w:cs="宋体" w:asciiTheme="minorEastAsia" w:hAnsiTheme="minorEastAsia"/>
          <w:kern w:val="0"/>
          <w:sz w:val="24"/>
        </w:rPr>
        <w:t>7.1 调解</w:t>
      </w:r>
    </w:p>
    <w:p w14:paraId="7F61A1F7">
      <w:pPr>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本合同争议进行调解时，可提交</w:t>
      </w:r>
      <w:r>
        <w:rPr>
          <w:rFonts w:hint="eastAsia" w:cs="宋体" w:asciiTheme="minorEastAsia" w:hAnsiTheme="minorEastAsia"/>
          <w:kern w:val="0"/>
          <w:sz w:val="24"/>
          <w:u w:val="single"/>
        </w:rPr>
        <w:t>建设行政主管部门</w:t>
      </w:r>
      <w:r>
        <w:rPr>
          <w:rFonts w:hint="eastAsia" w:cs="宋体" w:asciiTheme="minorEastAsia" w:hAnsiTheme="minorEastAsia"/>
          <w:kern w:val="0"/>
          <w:sz w:val="24"/>
        </w:rPr>
        <w:t>进行调解。</w:t>
      </w:r>
    </w:p>
    <w:p w14:paraId="5F8F88B9">
      <w:pPr>
        <w:spacing w:line="420" w:lineRule="exact"/>
        <w:rPr>
          <w:rFonts w:cs="宋体" w:asciiTheme="minorEastAsia" w:hAnsiTheme="minorEastAsia"/>
          <w:kern w:val="0"/>
          <w:sz w:val="24"/>
        </w:rPr>
      </w:pPr>
      <w:r>
        <w:rPr>
          <w:rFonts w:hint="eastAsia" w:cs="宋体" w:asciiTheme="minorEastAsia" w:hAnsiTheme="minorEastAsia"/>
          <w:kern w:val="0"/>
          <w:sz w:val="24"/>
        </w:rPr>
        <w:t>7.2 仲裁或诉讼</w:t>
      </w:r>
    </w:p>
    <w:p w14:paraId="207D1520">
      <w:pPr>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合同争议的最终解决方式为下列第</w:t>
      </w:r>
      <w:r>
        <w:rPr>
          <w:rFonts w:hint="eastAsia" w:cs="宋体" w:asciiTheme="minorEastAsia" w:hAnsiTheme="minorEastAsia"/>
          <w:kern w:val="0"/>
          <w:sz w:val="24"/>
          <w:u w:val="single"/>
        </w:rPr>
        <w:t xml:space="preserve">  （2）  </w:t>
      </w:r>
      <w:r>
        <w:rPr>
          <w:rFonts w:hint="eastAsia" w:cs="宋体" w:asciiTheme="minorEastAsia" w:hAnsiTheme="minorEastAsia"/>
          <w:kern w:val="0"/>
          <w:sz w:val="24"/>
        </w:rPr>
        <w:t>种方式：</w:t>
      </w:r>
      <w:bookmarkStart w:id="84" w:name="OLE_LINK34"/>
      <w:bookmarkStart w:id="85" w:name="OLE_LINK33"/>
    </w:p>
    <w:bookmarkEnd w:id="84"/>
    <w:bookmarkEnd w:id="85"/>
    <w:p w14:paraId="79A02006">
      <w:pPr>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 xml:space="preserve">（1）提请 </w:t>
      </w:r>
      <w:r>
        <w:rPr>
          <w:rFonts w:hint="eastAsia" w:cs="宋体" w:asciiTheme="minorEastAsia" w:hAnsiTheme="minorEastAsia"/>
          <w:kern w:val="0"/>
          <w:sz w:val="24"/>
          <w:u w:val="single"/>
        </w:rPr>
        <w:t xml:space="preserve">           </w:t>
      </w:r>
      <w:r>
        <w:rPr>
          <w:rFonts w:hint="eastAsia" w:cs="宋体" w:asciiTheme="minorEastAsia" w:hAnsiTheme="minorEastAsia"/>
          <w:kern w:val="0"/>
          <w:sz w:val="24"/>
        </w:rPr>
        <w:t>仲裁委员会进行仲裁。</w:t>
      </w:r>
    </w:p>
    <w:p w14:paraId="0EF97740">
      <w:pPr>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 xml:space="preserve">（2）向 </w:t>
      </w:r>
      <w:r>
        <w:rPr>
          <w:rFonts w:hint="eastAsia" w:cs="宋体" w:asciiTheme="minorEastAsia" w:hAnsiTheme="minorEastAsia"/>
          <w:kern w:val="0"/>
          <w:sz w:val="24"/>
          <w:u w:val="single"/>
        </w:rPr>
        <w:t xml:space="preserve">   委托人所在地   </w:t>
      </w:r>
      <w:r>
        <w:rPr>
          <w:rFonts w:hint="eastAsia" w:cs="宋体" w:asciiTheme="minorEastAsia" w:hAnsiTheme="minorEastAsia"/>
          <w:kern w:val="0"/>
          <w:sz w:val="24"/>
        </w:rPr>
        <w:t>人民法院提起诉讼。</w:t>
      </w:r>
    </w:p>
    <w:p w14:paraId="1360897A">
      <w:pPr>
        <w:spacing w:line="420" w:lineRule="exact"/>
        <w:rPr>
          <w:rFonts w:cs="宋体" w:asciiTheme="minorEastAsia" w:hAnsiTheme="minorEastAsia"/>
          <w:kern w:val="0"/>
          <w:sz w:val="24"/>
        </w:rPr>
      </w:pPr>
      <w:r>
        <w:rPr>
          <w:rFonts w:hint="eastAsia" w:cs="宋体" w:asciiTheme="minorEastAsia" w:hAnsiTheme="minorEastAsia"/>
          <w:kern w:val="0"/>
          <w:sz w:val="24"/>
        </w:rPr>
        <w:t>8. 其他</w:t>
      </w:r>
    </w:p>
    <w:p w14:paraId="7986BBC6">
      <w:pPr>
        <w:spacing w:line="420" w:lineRule="exact"/>
        <w:rPr>
          <w:rFonts w:cs="宋体" w:asciiTheme="minorEastAsia" w:hAnsiTheme="minorEastAsia"/>
          <w:kern w:val="0"/>
          <w:sz w:val="24"/>
        </w:rPr>
      </w:pPr>
      <w:r>
        <w:rPr>
          <w:rFonts w:hint="eastAsia" w:cs="宋体" w:asciiTheme="minorEastAsia" w:hAnsiTheme="minorEastAsia"/>
          <w:kern w:val="0"/>
          <w:sz w:val="24"/>
        </w:rPr>
        <w:t>8.1 检测费用</w:t>
      </w:r>
    </w:p>
    <w:p w14:paraId="40DE8C72">
      <w:pPr>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委托人应在检测工作完成后</w:t>
      </w:r>
      <w:r>
        <w:rPr>
          <w:rFonts w:hint="eastAsia" w:cs="宋体" w:asciiTheme="minorEastAsia" w:hAnsiTheme="minorEastAsia"/>
          <w:kern w:val="0"/>
          <w:sz w:val="24"/>
          <w:u w:val="single"/>
        </w:rPr>
        <w:t xml:space="preserve">  /  </w:t>
      </w:r>
      <w:r>
        <w:rPr>
          <w:rFonts w:hint="eastAsia" w:cs="宋体" w:asciiTheme="minorEastAsia" w:hAnsiTheme="minorEastAsia"/>
          <w:kern w:val="0"/>
          <w:sz w:val="24"/>
        </w:rPr>
        <w:t>天内支付检测费用。</w:t>
      </w:r>
    </w:p>
    <w:p w14:paraId="34BED272">
      <w:pPr>
        <w:spacing w:line="420" w:lineRule="exact"/>
        <w:rPr>
          <w:rFonts w:cs="宋体" w:asciiTheme="minorEastAsia" w:hAnsiTheme="minorEastAsia"/>
          <w:kern w:val="0"/>
          <w:sz w:val="24"/>
        </w:rPr>
      </w:pPr>
      <w:r>
        <w:rPr>
          <w:rFonts w:hint="eastAsia" w:cs="宋体" w:asciiTheme="minorEastAsia" w:hAnsiTheme="minorEastAsia"/>
          <w:kern w:val="0"/>
          <w:sz w:val="24"/>
        </w:rPr>
        <w:t>8.2 咨询费用</w:t>
      </w:r>
      <w:r>
        <w:rPr>
          <w:rFonts w:hint="eastAsia" w:cs="宋体" w:asciiTheme="minorEastAsia" w:hAnsiTheme="minorEastAsia"/>
          <w:kern w:val="0"/>
          <w:sz w:val="24"/>
        </w:rPr>
        <w:tab/>
      </w:r>
    </w:p>
    <w:p w14:paraId="179C41DF">
      <w:pPr>
        <w:spacing w:line="420" w:lineRule="exact"/>
        <w:ind w:firstLine="480" w:firstLineChars="200"/>
        <w:rPr>
          <w:rFonts w:cs="宋体" w:asciiTheme="minorEastAsia" w:hAnsiTheme="minorEastAsia"/>
          <w:kern w:val="0"/>
          <w:sz w:val="24"/>
        </w:rPr>
      </w:pPr>
      <w:bookmarkStart w:id="86" w:name="OLE_LINK25"/>
      <w:bookmarkStart w:id="87" w:name="OLE_LINK24"/>
      <w:bookmarkStart w:id="88" w:name="OLE_LINK26"/>
      <w:r>
        <w:rPr>
          <w:rFonts w:hint="eastAsia" w:cs="宋体" w:asciiTheme="minorEastAsia" w:hAnsiTheme="minorEastAsia"/>
          <w:kern w:val="0"/>
          <w:sz w:val="24"/>
        </w:rPr>
        <w:t>委</w:t>
      </w:r>
      <w:bookmarkEnd w:id="86"/>
      <w:bookmarkEnd w:id="87"/>
      <w:bookmarkEnd w:id="88"/>
      <w:r>
        <w:rPr>
          <w:rFonts w:hint="eastAsia" w:cs="宋体" w:asciiTheme="minorEastAsia" w:hAnsiTheme="minorEastAsia"/>
          <w:kern w:val="0"/>
          <w:sz w:val="24"/>
        </w:rPr>
        <w:t>托人应在咨询工作完成后</w:t>
      </w:r>
      <w:r>
        <w:rPr>
          <w:rFonts w:hint="eastAsia" w:cs="宋体" w:asciiTheme="minorEastAsia" w:hAnsiTheme="minorEastAsia"/>
          <w:kern w:val="0"/>
          <w:sz w:val="24"/>
          <w:u w:val="single"/>
        </w:rPr>
        <w:t xml:space="preserve">  /   </w:t>
      </w:r>
      <w:r>
        <w:rPr>
          <w:rFonts w:hint="eastAsia" w:cs="宋体" w:asciiTheme="minorEastAsia" w:hAnsiTheme="minorEastAsia"/>
          <w:kern w:val="0"/>
          <w:sz w:val="24"/>
        </w:rPr>
        <w:t>天内支付咨询费用。</w:t>
      </w:r>
    </w:p>
    <w:p w14:paraId="6097D569">
      <w:pPr>
        <w:spacing w:line="420" w:lineRule="exact"/>
        <w:rPr>
          <w:rFonts w:cs="宋体" w:asciiTheme="minorEastAsia" w:hAnsiTheme="minorEastAsia"/>
          <w:kern w:val="0"/>
          <w:sz w:val="24"/>
        </w:rPr>
      </w:pPr>
      <w:r>
        <w:rPr>
          <w:rFonts w:hint="eastAsia" w:cs="宋体" w:asciiTheme="minorEastAsia" w:hAnsiTheme="minorEastAsia"/>
          <w:kern w:val="0"/>
          <w:sz w:val="24"/>
        </w:rPr>
        <w:t>8.4 奖励</w:t>
      </w:r>
    </w:p>
    <w:p w14:paraId="3BE30F56">
      <w:pPr>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合理化建议的奖励金额按下列方法确定为：</w:t>
      </w:r>
    </w:p>
    <w:p w14:paraId="10D02931">
      <w:pPr>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奖励金额＝工程投资节省额×奖励金额的比率；</w:t>
      </w:r>
    </w:p>
    <w:p w14:paraId="1CC8F334">
      <w:pPr>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 xml:space="preserve">奖励金额的比率为 </w:t>
      </w:r>
      <w:r>
        <w:rPr>
          <w:rFonts w:hint="eastAsia" w:cs="宋体" w:asciiTheme="minorEastAsia" w:hAnsiTheme="minorEastAsia"/>
          <w:kern w:val="0"/>
          <w:sz w:val="24"/>
          <w:u w:val="single"/>
        </w:rPr>
        <w:t xml:space="preserve">  /   </w:t>
      </w:r>
      <w:r>
        <w:rPr>
          <w:rFonts w:hint="eastAsia" w:cs="宋体" w:asciiTheme="minorEastAsia" w:hAnsiTheme="minorEastAsia"/>
          <w:kern w:val="0"/>
          <w:sz w:val="24"/>
        </w:rPr>
        <w:t xml:space="preserve"> 。</w:t>
      </w:r>
    </w:p>
    <w:p w14:paraId="6426C06B">
      <w:pPr>
        <w:spacing w:line="420" w:lineRule="exact"/>
        <w:rPr>
          <w:rFonts w:cs="宋体" w:asciiTheme="minorEastAsia" w:hAnsiTheme="minorEastAsia"/>
          <w:kern w:val="0"/>
          <w:sz w:val="24"/>
        </w:rPr>
      </w:pPr>
      <w:r>
        <w:rPr>
          <w:rFonts w:hint="eastAsia" w:cs="宋体" w:asciiTheme="minorEastAsia" w:hAnsiTheme="minorEastAsia"/>
          <w:kern w:val="0"/>
          <w:sz w:val="24"/>
        </w:rPr>
        <w:t>8.5 保密</w:t>
      </w:r>
    </w:p>
    <w:p w14:paraId="3DB0C15B">
      <w:pPr>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委托人申明的保密事项和期限：</w:t>
      </w:r>
      <w:r>
        <w:rPr>
          <w:rFonts w:hint="eastAsia" w:cs="宋体" w:asciiTheme="minorEastAsia" w:hAnsiTheme="minorEastAsia"/>
          <w:kern w:val="0"/>
          <w:sz w:val="24"/>
          <w:u w:val="single"/>
        </w:rPr>
        <w:t>本工程相关资料至工程竣工</w:t>
      </w:r>
      <w:r>
        <w:rPr>
          <w:rFonts w:hint="eastAsia" w:cs="宋体" w:asciiTheme="minorEastAsia" w:hAnsiTheme="minorEastAsia"/>
          <w:kern w:val="0"/>
          <w:sz w:val="24"/>
        </w:rPr>
        <w:t>。</w:t>
      </w:r>
    </w:p>
    <w:p w14:paraId="40F69CE5">
      <w:pPr>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 xml:space="preserve">监理人申明的保密事项和期限： </w:t>
      </w:r>
      <w:r>
        <w:rPr>
          <w:rFonts w:hint="eastAsia" w:cs="宋体" w:asciiTheme="minorEastAsia" w:hAnsiTheme="minorEastAsia"/>
          <w:kern w:val="0"/>
          <w:sz w:val="24"/>
          <w:u w:val="single"/>
        </w:rPr>
        <w:t>本工程相关资料，永久</w:t>
      </w:r>
      <w:r>
        <w:rPr>
          <w:rFonts w:hint="eastAsia" w:cs="宋体" w:asciiTheme="minorEastAsia" w:hAnsiTheme="minorEastAsia"/>
          <w:kern w:val="0"/>
          <w:sz w:val="24"/>
        </w:rPr>
        <w:t xml:space="preserve">  。</w:t>
      </w:r>
    </w:p>
    <w:p w14:paraId="4FEDD90E">
      <w:pPr>
        <w:spacing w:line="420" w:lineRule="exact"/>
        <w:ind w:firstLine="480" w:firstLineChars="200"/>
        <w:rPr>
          <w:rFonts w:cs="宋体" w:asciiTheme="minorEastAsia" w:hAnsiTheme="minorEastAsia"/>
          <w:kern w:val="0"/>
          <w:sz w:val="24"/>
        </w:rPr>
      </w:pPr>
      <w:bookmarkStart w:id="89" w:name="OLE_LINK22"/>
      <w:bookmarkStart w:id="90" w:name="OLE_LINK23"/>
      <w:r>
        <w:rPr>
          <w:rFonts w:hint="eastAsia" w:cs="宋体" w:asciiTheme="minorEastAsia" w:hAnsiTheme="minorEastAsia"/>
          <w:kern w:val="0"/>
          <w:sz w:val="24"/>
        </w:rPr>
        <w:t>第</w:t>
      </w:r>
      <w:bookmarkEnd w:id="89"/>
      <w:bookmarkEnd w:id="90"/>
      <w:r>
        <w:rPr>
          <w:rFonts w:hint="eastAsia" w:cs="宋体" w:asciiTheme="minorEastAsia" w:hAnsiTheme="minorEastAsia"/>
          <w:kern w:val="0"/>
          <w:sz w:val="24"/>
        </w:rPr>
        <w:t xml:space="preserve">双方申明的保密事项和期限： </w:t>
      </w:r>
      <w:r>
        <w:rPr>
          <w:rFonts w:hint="eastAsia" w:cs="宋体" w:asciiTheme="minorEastAsia" w:hAnsiTheme="minorEastAsia"/>
          <w:kern w:val="0"/>
          <w:sz w:val="24"/>
          <w:u w:val="single"/>
        </w:rPr>
        <w:t>本工程相关资料，永久</w:t>
      </w:r>
      <w:r>
        <w:rPr>
          <w:rFonts w:hint="eastAsia" w:cs="宋体" w:asciiTheme="minorEastAsia" w:hAnsiTheme="minorEastAsia"/>
          <w:kern w:val="0"/>
          <w:sz w:val="24"/>
        </w:rPr>
        <w:t xml:space="preserve">  。</w:t>
      </w:r>
    </w:p>
    <w:p w14:paraId="72ACBC15">
      <w:pPr>
        <w:spacing w:line="420" w:lineRule="exact"/>
        <w:rPr>
          <w:rFonts w:cs="宋体" w:asciiTheme="minorEastAsia" w:hAnsiTheme="minorEastAsia"/>
          <w:kern w:val="0"/>
          <w:sz w:val="24"/>
        </w:rPr>
      </w:pPr>
      <w:r>
        <w:rPr>
          <w:rFonts w:hint="eastAsia" w:cs="宋体" w:asciiTheme="minorEastAsia" w:hAnsiTheme="minorEastAsia"/>
          <w:kern w:val="0"/>
          <w:sz w:val="24"/>
        </w:rPr>
        <w:t>8.6著作权</w:t>
      </w:r>
    </w:p>
    <w:p w14:paraId="67B87533">
      <w:pPr>
        <w:spacing w:line="420" w:lineRule="exact"/>
        <w:ind w:firstLine="480" w:firstLineChars="200"/>
        <w:rPr>
          <w:rFonts w:cs="宋体" w:asciiTheme="minorEastAsia" w:hAnsiTheme="minorEastAsia"/>
          <w:kern w:val="0"/>
          <w:sz w:val="24"/>
          <w:u w:val="single"/>
        </w:rPr>
      </w:pPr>
      <w:r>
        <w:rPr>
          <w:rFonts w:hint="eastAsia" w:cs="宋体" w:asciiTheme="minorEastAsia" w:hAnsiTheme="minorEastAsia"/>
          <w:kern w:val="0"/>
          <w:sz w:val="24"/>
        </w:rPr>
        <w:t>监理人在本合同履行期间及本合同终止后涉及本工程的有关监理与相关服务的资料的限制条件：</w:t>
      </w:r>
      <w:r>
        <w:rPr>
          <w:rFonts w:hint="eastAsia" w:cs="宋体" w:asciiTheme="minorEastAsia" w:hAnsiTheme="minorEastAsia"/>
          <w:kern w:val="0"/>
          <w:sz w:val="24"/>
          <w:u w:val="single"/>
        </w:rPr>
        <w:t>未经委托人同意，凡涉及到国家机密和本工程所有资料、文件及工程名称不得向第三人透露。</w:t>
      </w:r>
    </w:p>
    <w:p w14:paraId="2A75243C">
      <w:pPr>
        <w:spacing w:line="420" w:lineRule="exact"/>
        <w:rPr>
          <w:rFonts w:cs="宋体" w:asciiTheme="minorEastAsia" w:hAnsiTheme="minorEastAsia"/>
          <w:kern w:val="0"/>
          <w:sz w:val="24"/>
          <w:u w:val="single"/>
        </w:rPr>
      </w:pPr>
      <w:r>
        <w:rPr>
          <w:rFonts w:hint="eastAsia" w:cs="宋体" w:asciiTheme="minorEastAsia" w:hAnsiTheme="minorEastAsia"/>
          <w:kern w:val="0"/>
          <w:sz w:val="24"/>
        </w:rPr>
        <w:t>9. 补充条款：</w:t>
      </w:r>
    </w:p>
    <w:p w14:paraId="6AFBCB31">
      <w:pPr>
        <w:adjustRightInd w:val="0"/>
        <w:snapToGrid w:val="0"/>
        <w:spacing w:before="156" w:beforeLines="50" w:after="156" w:afterLines="50" w:line="460" w:lineRule="exact"/>
        <w:rPr>
          <w:rFonts w:cs="宋体" w:asciiTheme="minorEastAsia" w:hAnsiTheme="minorEastAsia"/>
          <w:sz w:val="24"/>
        </w:rPr>
      </w:pPr>
      <w:r>
        <w:rPr>
          <w:rFonts w:hint="eastAsia" w:cs="宋体" w:asciiTheme="minorEastAsia" w:hAnsiTheme="minorEastAsia"/>
          <w:sz w:val="24"/>
        </w:rPr>
        <w:t xml:space="preserve">9.1、监理人实际到场监理人员应与投标审定监理人员一致，总监理工程师和专业监理工程师未经同意不得擅自变更，必须常驻现场。若未经批准擅自离场每发现一次，委托人将按500元/次扣罚监理酬金； </w:t>
      </w:r>
    </w:p>
    <w:p w14:paraId="58AEF5E2">
      <w:pPr>
        <w:adjustRightInd w:val="0"/>
        <w:snapToGrid w:val="0"/>
        <w:spacing w:before="156" w:beforeLines="50" w:after="156" w:afterLines="50" w:line="460" w:lineRule="exact"/>
        <w:rPr>
          <w:rFonts w:cs="宋体" w:asciiTheme="minorEastAsia" w:hAnsiTheme="minorEastAsia"/>
          <w:sz w:val="24"/>
        </w:rPr>
      </w:pPr>
      <w:r>
        <w:rPr>
          <w:rFonts w:hint="eastAsia" w:cs="宋体" w:asciiTheme="minorEastAsia" w:hAnsiTheme="minorEastAsia"/>
          <w:sz w:val="24"/>
        </w:rPr>
        <w:t xml:space="preserve">9.2、总监理工程师和专业监理工程师未经批准不参加周工程例会的，委托人将分别按200 元/次、100 元/次扣罚监理酬金； </w:t>
      </w:r>
    </w:p>
    <w:p w14:paraId="4B1BCC46">
      <w:pPr>
        <w:adjustRightInd w:val="0"/>
        <w:snapToGrid w:val="0"/>
        <w:spacing w:before="156" w:beforeLines="50" w:after="156" w:afterLines="50" w:line="460" w:lineRule="exact"/>
        <w:rPr>
          <w:rFonts w:cs="宋体" w:asciiTheme="minorEastAsia" w:hAnsiTheme="minorEastAsia"/>
          <w:sz w:val="24"/>
        </w:rPr>
      </w:pPr>
      <w:r>
        <w:rPr>
          <w:rFonts w:hint="eastAsia" w:cs="宋体" w:asciiTheme="minorEastAsia" w:hAnsiTheme="minorEastAsia"/>
          <w:sz w:val="24"/>
        </w:rPr>
        <w:t xml:space="preserve">9.3、监理人应对施工承包人提交的专项施工方案进行审批，审批合格后方能签发施工指令。施工单位擅自施工而监理人未能及时发现并改正，或监理人签发未经审批合格的施工指令的，委托人将按500 元/次扣罚监理酬金； </w:t>
      </w:r>
    </w:p>
    <w:p w14:paraId="047865DC">
      <w:pPr>
        <w:adjustRightInd w:val="0"/>
        <w:snapToGrid w:val="0"/>
        <w:spacing w:before="156" w:beforeLines="50" w:after="156" w:afterLines="50" w:line="460" w:lineRule="exact"/>
        <w:rPr>
          <w:rFonts w:cs="宋体" w:asciiTheme="minorEastAsia" w:hAnsiTheme="minorEastAsia"/>
          <w:sz w:val="24"/>
        </w:rPr>
      </w:pPr>
      <w:r>
        <w:rPr>
          <w:rFonts w:hint="eastAsia" w:cs="宋体" w:asciiTheme="minorEastAsia" w:hAnsiTheme="minorEastAsia"/>
          <w:sz w:val="24"/>
        </w:rPr>
        <w:t xml:space="preserve">9.4、监理人应参与施工承包人组织的工序交底工作，并在工序完成后进行验收。如施工承包人无书面交底或未经监理人验收或验收不合格，私自转入下到工序施工，监理人未能及时发现并督促施工承包人改正，或监理人对不合格工序签发下道工序施工指令的，委托人将按1000 元/次扣罚监理酬金； </w:t>
      </w:r>
    </w:p>
    <w:p w14:paraId="19E866E4">
      <w:pPr>
        <w:adjustRightInd w:val="0"/>
        <w:snapToGrid w:val="0"/>
        <w:spacing w:before="156" w:beforeLines="50" w:after="156" w:afterLines="50" w:line="460" w:lineRule="exact"/>
        <w:rPr>
          <w:rFonts w:cs="宋体" w:asciiTheme="minorEastAsia" w:hAnsiTheme="minorEastAsia"/>
          <w:sz w:val="24"/>
        </w:rPr>
      </w:pPr>
      <w:r>
        <w:rPr>
          <w:rFonts w:hint="eastAsia" w:cs="宋体" w:asciiTheme="minorEastAsia" w:hAnsiTheme="minorEastAsia"/>
          <w:sz w:val="24"/>
        </w:rPr>
        <w:t xml:space="preserve">9.5、关键工序监理人监督旁站不到位，委托人将按200 元/人次扣罚监理酬金； </w:t>
      </w:r>
    </w:p>
    <w:p w14:paraId="03BFF4A0">
      <w:pPr>
        <w:adjustRightInd w:val="0"/>
        <w:snapToGrid w:val="0"/>
        <w:spacing w:before="156" w:beforeLines="50" w:after="156" w:afterLines="50" w:line="460" w:lineRule="exact"/>
        <w:rPr>
          <w:rFonts w:cs="宋体" w:asciiTheme="minorEastAsia" w:hAnsiTheme="minorEastAsia"/>
          <w:sz w:val="24"/>
        </w:rPr>
      </w:pPr>
      <w:r>
        <w:rPr>
          <w:rFonts w:hint="eastAsia" w:cs="宋体" w:asciiTheme="minorEastAsia" w:hAnsiTheme="minorEastAsia"/>
          <w:sz w:val="24"/>
        </w:rPr>
        <w:t xml:space="preserve">9.6、监理人应对施工现场存在的质量问题应及时发出监理通知单，并要求施工承包人限期完成。若监理人未能及时发现问题并督促施工承包人改正，委托人将按500元/次扣罚监理酬金； </w:t>
      </w:r>
    </w:p>
    <w:p w14:paraId="76184FA6">
      <w:pPr>
        <w:adjustRightInd w:val="0"/>
        <w:snapToGrid w:val="0"/>
        <w:spacing w:before="156" w:beforeLines="50" w:after="156" w:afterLines="50" w:line="460" w:lineRule="exact"/>
        <w:rPr>
          <w:rFonts w:cs="宋体" w:asciiTheme="minorEastAsia" w:hAnsiTheme="minorEastAsia"/>
          <w:sz w:val="24"/>
        </w:rPr>
      </w:pPr>
      <w:r>
        <w:rPr>
          <w:rFonts w:hint="eastAsia" w:cs="宋体" w:asciiTheme="minorEastAsia" w:hAnsiTheme="minorEastAsia"/>
          <w:sz w:val="24"/>
        </w:rPr>
        <w:t xml:space="preserve">9.7、施工承包人在计划工期内没有完成作业任务且无正当理由的，监理人又未能 及时发现并督促施工承包人改正的，委托人将按200 元/次扣罚监理酬金； </w:t>
      </w:r>
    </w:p>
    <w:p w14:paraId="1DB495FB">
      <w:pPr>
        <w:adjustRightInd w:val="0"/>
        <w:snapToGrid w:val="0"/>
        <w:spacing w:before="156" w:beforeLines="50" w:after="156" w:afterLines="50" w:line="460" w:lineRule="exact"/>
        <w:rPr>
          <w:rFonts w:cs="宋体" w:asciiTheme="minorEastAsia" w:hAnsiTheme="minorEastAsia"/>
          <w:sz w:val="24"/>
        </w:rPr>
      </w:pPr>
      <w:r>
        <w:rPr>
          <w:rFonts w:hint="eastAsia" w:cs="宋体" w:asciiTheme="minorEastAsia" w:hAnsiTheme="minorEastAsia"/>
          <w:sz w:val="24"/>
        </w:rPr>
        <w:t xml:space="preserve">9.8、进场施工机械未进行报验而擅自投入使用的，监理未予以停工处理，委托人 将按200 元/台扣罚监理酬金； </w:t>
      </w:r>
    </w:p>
    <w:p w14:paraId="33EA8FA2">
      <w:pPr>
        <w:adjustRightInd w:val="0"/>
        <w:snapToGrid w:val="0"/>
        <w:spacing w:before="156" w:beforeLines="50" w:after="156" w:afterLines="50" w:line="460" w:lineRule="exact"/>
        <w:rPr>
          <w:rFonts w:cs="宋体" w:asciiTheme="minorEastAsia" w:hAnsiTheme="minorEastAsia"/>
          <w:sz w:val="24"/>
        </w:rPr>
      </w:pPr>
      <w:r>
        <w:rPr>
          <w:rFonts w:hint="eastAsia" w:cs="宋体" w:asciiTheme="minorEastAsia" w:hAnsiTheme="minorEastAsia"/>
          <w:sz w:val="24"/>
        </w:rPr>
        <w:t xml:space="preserve">9.9、施工承包人的吊装(起重)作业未有专人指挥、或未按国家规范要求上报吊装 方案、或吊装方案未经过批准擅自使用、或未能按作业规程进行操作，监理人未能及时发现并督促施工承包人改正的，委托人将按200 元/项扣罚监理酬金； </w:t>
      </w:r>
    </w:p>
    <w:p w14:paraId="4894FE56">
      <w:pPr>
        <w:adjustRightInd w:val="0"/>
        <w:snapToGrid w:val="0"/>
        <w:spacing w:before="156" w:beforeLines="50" w:after="156" w:afterLines="50" w:line="460" w:lineRule="exact"/>
        <w:rPr>
          <w:rFonts w:cs="宋体" w:asciiTheme="minorEastAsia" w:hAnsiTheme="minorEastAsia"/>
          <w:sz w:val="24"/>
        </w:rPr>
      </w:pPr>
      <w:r>
        <w:rPr>
          <w:rFonts w:hint="eastAsia" w:cs="宋体" w:asciiTheme="minorEastAsia" w:hAnsiTheme="minorEastAsia"/>
          <w:sz w:val="24"/>
        </w:rPr>
        <w:t xml:space="preserve">9.10、监理人应对施工承包人的临时用电方案进行审核，并督促其严格经审批的方案实施。若监理人未能及时发现并督促施工承包人改正的，委托人将按100 元/ 次扣罚监理酬金； </w:t>
      </w:r>
    </w:p>
    <w:p w14:paraId="16EE03D5">
      <w:pPr>
        <w:adjustRightInd w:val="0"/>
        <w:snapToGrid w:val="0"/>
        <w:spacing w:before="156" w:beforeLines="50" w:after="156" w:afterLines="50" w:line="460" w:lineRule="exact"/>
        <w:rPr>
          <w:rFonts w:cs="宋体" w:asciiTheme="minorEastAsia" w:hAnsiTheme="minorEastAsia"/>
          <w:sz w:val="24"/>
        </w:rPr>
      </w:pPr>
      <w:r>
        <w:rPr>
          <w:rFonts w:hint="eastAsia" w:cs="宋体" w:asciiTheme="minorEastAsia" w:hAnsiTheme="minorEastAsia"/>
          <w:sz w:val="24"/>
        </w:rPr>
        <w:t xml:space="preserve">9.11、工程地上，地下管线繁多，监理人应督查施工承包人对管线设施进行严格的保护，严禁野蛮施工。因监理人未管理或管理不到位的，每损伤一处，视其情节严重情况，委托人将按200 元/处～3000 元/处扣罚监理酬金； </w:t>
      </w:r>
    </w:p>
    <w:p w14:paraId="4415CD02">
      <w:pPr>
        <w:adjustRightInd w:val="0"/>
        <w:snapToGrid w:val="0"/>
        <w:spacing w:before="156" w:beforeLines="50" w:after="156" w:afterLines="50" w:line="460" w:lineRule="exact"/>
        <w:rPr>
          <w:rFonts w:cs="宋体" w:asciiTheme="minorEastAsia" w:hAnsiTheme="minorEastAsia"/>
          <w:sz w:val="24"/>
        </w:rPr>
      </w:pPr>
      <w:r>
        <w:rPr>
          <w:rFonts w:hint="eastAsia" w:cs="宋体" w:asciiTheme="minorEastAsia" w:hAnsiTheme="minorEastAsia"/>
          <w:sz w:val="24"/>
        </w:rPr>
        <w:t xml:space="preserve">9.12、监理人需对施工承包人做好安全监控，督促施工承包人建立安全文明施工档案，针对每道工序，编写相应的安全文明施工指导书，并应对施工人员进行交底。监理人应定期组织各承包人负责人、安全员参加现场安全文明检查，并将检查情况整理形成安全简报上报委托人。若出现“工地文明建设、围挡亮化不达标” “五牌一图未设置” “作业现场人员未佩戴安全帽或工作牌”“ 高空作业人员未系安全带”“ 桩基作业泥浆外泄” “砼施工泥浆排入地下管网” “工程施工特殊部位(如临边、洞口等)未设置相关警示牌”等不文明施工或安全隐患，监理人未能及时发现并督促施工承包人改正的，委托人将按200 元/项扣罚监理酬金；监理人需督促施工承包人做好安全文明工作，如因安全文明工作未做到位导致施工遭到周围居民投诉，经查属实的，委托人将按400 元/次扣罚监理酬金。  </w:t>
      </w:r>
    </w:p>
    <w:p w14:paraId="13669C46">
      <w:pPr>
        <w:adjustRightInd w:val="0"/>
        <w:snapToGrid w:val="0"/>
        <w:spacing w:before="156" w:beforeLines="50" w:after="156" w:afterLines="50" w:line="460" w:lineRule="exact"/>
        <w:rPr>
          <w:rFonts w:cs="宋体" w:asciiTheme="minorEastAsia" w:hAnsiTheme="minorEastAsia"/>
          <w:sz w:val="24"/>
        </w:rPr>
      </w:pPr>
      <w:r>
        <w:rPr>
          <w:rFonts w:hint="eastAsia" w:cs="宋体" w:asciiTheme="minorEastAsia" w:hAnsiTheme="minorEastAsia"/>
          <w:sz w:val="24"/>
        </w:rPr>
        <w:t xml:space="preserve">10、附加协议条款 </w:t>
      </w:r>
    </w:p>
    <w:p w14:paraId="6285D509">
      <w:pPr>
        <w:adjustRightInd w:val="0"/>
        <w:snapToGrid w:val="0"/>
        <w:spacing w:before="156" w:beforeLines="50" w:after="156" w:afterLines="50" w:line="460" w:lineRule="exact"/>
        <w:rPr>
          <w:rFonts w:cs="宋体" w:asciiTheme="minorEastAsia" w:hAnsiTheme="minorEastAsia"/>
          <w:sz w:val="24"/>
        </w:rPr>
      </w:pPr>
      <w:r>
        <w:rPr>
          <w:rFonts w:hint="eastAsia" w:cs="宋体" w:asciiTheme="minorEastAsia" w:hAnsiTheme="minorEastAsia"/>
          <w:sz w:val="24"/>
        </w:rPr>
        <w:t xml:space="preserve">10.1、 监理人须督促承包人采取各种措施满足安全施工的规定。外部任何单位和个人未经发包人批准，不得进入施工区域内。工程施工特殊部位(如临边、洞口等)必须设置相关警示标志，施工场地与社会车辆通行道路间必须设置连续、整齐、牢固、美观的围挡； </w:t>
      </w:r>
    </w:p>
    <w:p w14:paraId="434AAF88">
      <w:pPr>
        <w:adjustRightInd w:val="0"/>
        <w:snapToGrid w:val="0"/>
        <w:spacing w:before="156" w:beforeLines="50" w:after="156" w:afterLines="50" w:line="460" w:lineRule="exact"/>
        <w:rPr>
          <w:rFonts w:cs="宋体" w:asciiTheme="minorEastAsia" w:hAnsiTheme="minorEastAsia"/>
          <w:sz w:val="24"/>
        </w:rPr>
      </w:pPr>
      <w:r>
        <w:rPr>
          <w:rFonts w:hint="eastAsia" w:cs="宋体" w:asciiTheme="minorEastAsia" w:hAnsiTheme="minorEastAsia"/>
          <w:sz w:val="24"/>
        </w:rPr>
        <w:t>10.2、 监理人须监督承包人做好安全保卫工作。承包人在合同执行期间，应提供适当数量的保安人员，负责工程、施工物资、机械设备和施工人员的安全保卫，并装备足够的夜间照明和围挡防护措施，该项保卫工作在夜间及节假日不得间断；</w:t>
      </w:r>
    </w:p>
    <w:p w14:paraId="233CD883">
      <w:pPr>
        <w:adjustRightInd w:val="0"/>
        <w:snapToGrid w:val="0"/>
        <w:spacing w:before="156" w:beforeLines="50" w:after="156" w:afterLines="50" w:line="460" w:lineRule="exact"/>
        <w:rPr>
          <w:rFonts w:cs="宋体" w:asciiTheme="minorEastAsia" w:hAnsiTheme="minorEastAsia"/>
          <w:sz w:val="24"/>
        </w:rPr>
      </w:pPr>
      <w:r>
        <w:rPr>
          <w:rFonts w:hint="eastAsia" w:cs="宋体" w:asciiTheme="minorEastAsia" w:hAnsiTheme="minorEastAsia"/>
          <w:sz w:val="24"/>
        </w:rPr>
        <w:t xml:space="preserve">10.3、 承包人应负责涉及到交通、环卫、市容(含渣土外运)、环保及劳务用工管理等所有协调工作，并按相关部门要求的时限及标准办理所有相关手续，并承担所发生的一切费用。施工期间，监理人应督促承包人严格控制排污，降低施工噪音和工地扬尘，减少震动，加强夜间施工管理，满足国家和镇江市有关法规要求。由于监理人管理不到位，导致不文明施工对周围居民、企事业单位造成的影响，并可能引发的各种争议或纠纷，监理人承担全部责任； </w:t>
      </w:r>
    </w:p>
    <w:p w14:paraId="704AE6D7">
      <w:pPr>
        <w:adjustRightInd w:val="0"/>
        <w:snapToGrid w:val="0"/>
        <w:spacing w:before="156" w:beforeLines="50" w:after="156" w:afterLines="50" w:line="460" w:lineRule="exact"/>
        <w:rPr>
          <w:rFonts w:cs="宋体" w:asciiTheme="minorEastAsia" w:hAnsiTheme="minorEastAsia"/>
          <w:sz w:val="24"/>
        </w:rPr>
      </w:pPr>
      <w:r>
        <w:rPr>
          <w:rFonts w:hint="eastAsia" w:cs="宋体" w:asciiTheme="minorEastAsia" w:hAnsiTheme="minorEastAsia"/>
          <w:sz w:val="24"/>
        </w:rPr>
        <w:t xml:space="preserve">10.4、 监理人须督促承包人按建筑工程文明工地创建的有关文件进行现场管理。承包人应按镇江市文明工地及亮化围挡的要求，制作标准化围挡，施工现场出入口及主要场地予以硬化，大门处设置洗车台，弃土、弃渣车辆进出现场应按市容、环卫等部门要求予以冲洗。施工现场设置五牌一图等制度牌和施工现场总平面图。承包人在施工范围内须设置满足车辆正常通行的施工便道，方案须经发包人和监理人审核通过。承包人搭建的临时设施应整齐美观并通过发包人和监理人的审核。承包人应构造现场文明施工气氛，制定生活和环境卫生管理制度。监理人及承包人的所有雇员和代表都应穿戴整齐，行为文明； </w:t>
      </w:r>
    </w:p>
    <w:p w14:paraId="0486AA5D">
      <w:pPr>
        <w:adjustRightInd w:val="0"/>
        <w:snapToGrid w:val="0"/>
        <w:spacing w:before="156" w:beforeLines="50" w:after="156" w:afterLines="50" w:line="460" w:lineRule="exact"/>
        <w:rPr>
          <w:rFonts w:cs="宋体" w:asciiTheme="minorEastAsia" w:hAnsiTheme="minorEastAsia"/>
          <w:sz w:val="24"/>
        </w:rPr>
      </w:pPr>
      <w:r>
        <w:rPr>
          <w:rFonts w:hint="eastAsia" w:cs="宋体" w:asciiTheme="minorEastAsia" w:hAnsiTheme="minorEastAsia"/>
          <w:sz w:val="24"/>
        </w:rPr>
        <w:t xml:space="preserve">10.5、中标后如发现监理人不能按要求履约，委托人保留另行委托监理人的权力，由此造成的后果由中标监理人负责； </w:t>
      </w:r>
    </w:p>
    <w:p w14:paraId="3D4266C3">
      <w:pPr>
        <w:adjustRightInd w:val="0"/>
        <w:snapToGrid w:val="0"/>
        <w:spacing w:before="156" w:beforeLines="50" w:after="156" w:afterLines="50" w:line="460" w:lineRule="exact"/>
        <w:rPr>
          <w:rFonts w:cs="宋体" w:asciiTheme="minorEastAsia" w:hAnsiTheme="minorEastAsia"/>
          <w:sz w:val="24"/>
        </w:rPr>
      </w:pPr>
      <w:r>
        <w:rPr>
          <w:rFonts w:hint="eastAsia" w:cs="宋体" w:asciiTheme="minorEastAsia" w:hAnsiTheme="minorEastAsia"/>
          <w:sz w:val="24"/>
        </w:rPr>
        <w:t xml:space="preserve">10.6、 重大设计变更，额外工程量的现场签证和未经委托人授权部分的工作量，必须由委托人、监理人共同签认。监理人在工程建设期间及工程竣工后，须按规定或委托人要求及时审核工程结算和竣工资料等相关工作，并向委托人提供三套完整的监理资料； </w:t>
      </w:r>
    </w:p>
    <w:p w14:paraId="376D0A6D">
      <w:pPr>
        <w:adjustRightInd w:val="0"/>
        <w:snapToGrid w:val="0"/>
        <w:spacing w:before="156" w:beforeLines="50" w:after="156" w:afterLines="50" w:line="460" w:lineRule="exact"/>
        <w:rPr>
          <w:rFonts w:cs="宋体" w:asciiTheme="minorEastAsia" w:hAnsiTheme="minorEastAsia"/>
          <w:sz w:val="24"/>
        </w:rPr>
      </w:pPr>
      <w:r>
        <w:rPr>
          <w:rFonts w:hint="eastAsia" w:cs="宋体" w:asciiTheme="minorEastAsia" w:hAnsiTheme="minorEastAsia"/>
          <w:sz w:val="24"/>
        </w:rPr>
        <w:t>10.7、监理人应根据工程建设需要，及时做好相关的检验、检测工作。监理人应将检测单位的资质等相关情况提前以书面形式报告委托人并获得委托人书面认可。与本工程有关的相关检验、检测项目和数量，应按有关规定和抽检频率进行，监理人应定期书面报告委托人；</w:t>
      </w:r>
    </w:p>
    <w:p w14:paraId="6D35CB4A">
      <w:pPr>
        <w:adjustRightInd w:val="0"/>
        <w:snapToGrid w:val="0"/>
        <w:spacing w:before="156" w:beforeLines="50" w:after="156" w:afterLines="50" w:line="460" w:lineRule="exact"/>
        <w:rPr>
          <w:rFonts w:cs="宋体" w:asciiTheme="minorEastAsia" w:hAnsiTheme="minorEastAsia"/>
          <w:sz w:val="24"/>
        </w:rPr>
      </w:pPr>
      <w:r>
        <w:rPr>
          <w:rFonts w:hint="eastAsia" w:cs="宋体" w:asciiTheme="minorEastAsia" w:hAnsiTheme="minorEastAsia"/>
          <w:sz w:val="24"/>
        </w:rPr>
        <w:t>10.8、 监理人应配合委托人积极做好廉政建设工作，参建各方将另行签订廉政责任协议，监理人应按廉政责任协议相关条款执行。</w:t>
      </w:r>
    </w:p>
    <w:p w14:paraId="43C4D1F7">
      <w:pPr>
        <w:spacing w:line="420" w:lineRule="exact"/>
        <w:ind w:firstLine="480" w:firstLineChars="200"/>
        <w:rPr>
          <w:rFonts w:cs="宋体" w:asciiTheme="minorEastAsia" w:hAnsiTheme="minorEastAsia"/>
          <w:kern w:val="0"/>
          <w:sz w:val="24"/>
        </w:rPr>
      </w:pPr>
      <w:r>
        <w:rPr>
          <w:rFonts w:hint="eastAsia" w:cs="宋体" w:asciiTheme="minorEastAsia" w:hAnsiTheme="minorEastAsia"/>
          <w:kern w:val="0"/>
          <w:sz w:val="24"/>
        </w:rPr>
        <w:t xml:space="preserve">    </w:t>
      </w:r>
    </w:p>
    <w:p w14:paraId="70B7C2C6">
      <w:pPr>
        <w:spacing w:line="420" w:lineRule="exact"/>
        <w:ind w:firstLine="480" w:firstLineChars="200"/>
        <w:rPr>
          <w:rFonts w:cs="宋体" w:asciiTheme="minorEastAsia" w:hAnsiTheme="minorEastAsia"/>
          <w:kern w:val="0"/>
          <w:sz w:val="24"/>
        </w:rPr>
      </w:pPr>
    </w:p>
    <w:p w14:paraId="54B82229">
      <w:pPr>
        <w:spacing w:line="420" w:lineRule="exact"/>
        <w:ind w:firstLine="480" w:firstLineChars="200"/>
        <w:rPr>
          <w:rFonts w:cs="宋体" w:asciiTheme="minorEastAsia" w:hAnsiTheme="minorEastAsia"/>
          <w:kern w:val="0"/>
          <w:sz w:val="24"/>
        </w:rPr>
      </w:pPr>
    </w:p>
    <w:bookmarkEnd w:id="74"/>
    <w:p w14:paraId="37035F07">
      <w:pPr>
        <w:pageBreakBefore/>
        <w:spacing w:line="360" w:lineRule="auto"/>
        <w:jc w:val="center"/>
        <w:rPr>
          <w:rFonts w:cs="宋体" w:asciiTheme="minorEastAsia" w:hAnsiTheme="minorEastAsia"/>
          <w:b/>
          <w:bCs/>
          <w:sz w:val="24"/>
        </w:rPr>
      </w:pPr>
      <w:r>
        <w:rPr>
          <w:rFonts w:hint="eastAsia" w:cs="宋体" w:asciiTheme="minorEastAsia" w:hAnsiTheme="minorEastAsia"/>
          <w:b/>
          <w:bCs/>
          <w:sz w:val="24"/>
        </w:rPr>
        <w:t>附录A  相关服务的范围和内容</w:t>
      </w:r>
    </w:p>
    <w:p w14:paraId="17616B1C">
      <w:pPr>
        <w:snapToGrid w:val="0"/>
        <w:spacing w:before="156" w:beforeLines="50" w:after="156" w:afterLines="50" w:line="360" w:lineRule="auto"/>
        <w:ind w:firstLine="480" w:firstLineChars="200"/>
        <w:rPr>
          <w:rFonts w:cs="宋体" w:asciiTheme="minorEastAsia" w:hAnsiTheme="minorEastAsia"/>
          <w:sz w:val="24"/>
        </w:rPr>
      </w:pPr>
      <w:r>
        <w:rPr>
          <w:rFonts w:hint="eastAsia" w:cs="宋体" w:asciiTheme="minorEastAsia" w:hAnsiTheme="minorEastAsia"/>
          <w:kern w:val="0"/>
          <w:sz w:val="24"/>
        </w:rPr>
        <w:t>A-1 勘察阶段：</w:t>
      </w:r>
      <w:r>
        <w:rPr>
          <w:rFonts w:hint="eastAsia" w:cs="宋体" w:asciiTheme="minorEastAsia" w:hAnsiTheme="minorEastAsia"/>
          <w:sz w:val="24"/>
          <w:u w:val="single"/>
        </w:rPr>
        <w:t xml:space="preserve"> /</w:t>
      </w:r>
      <w:r>
        <w:rPr>
          <w:rFonts w:hint="eastAsia" w:cs="宋体" w:asciiTheme="minorEastAsia" w:hAnsiTheme="minorEastAsia"/>
          <w:kern w:val="0"/>
          <w:sz w:val="24"/>
          <w:u w:val="single"/>
        </w:rPr>
        <w:t xml:space="preserve"> </w:t>
      </w:r>
      <w:r>
        <w:rPr>
          <w:rFonts w:hint="eastAsia" w:cs="宋体" w:asciiTheme="minorEastAsia" w:hAnsiTheme="minorEastAsia"/>
          <w:kern w:val="0"/>
          <w:sz w:val="24"/>
        </w:rPr>
        <w:t>。</w:t>
      </w:r>
    </w:p>
    <w:p w14:paraId="0F56C34D">
      <w:pPr>
        <w:snapToGrid w:val="0"/>
        <w:spacing w:before="156" w:beforeLines="50" w:after="156" w:afterLines="50" w:line="360" w:lineRule="auto"/>
        <w:ind w:firstLine="480" w:firstLineChars="200"/>
        <w:rPr>
          <w:rFonts w:cs="宋体" w:asciiTheme="minorEastAsia" w:hAnsiTheme="minorEastAsia"/>
          <w:sz w:val="24"/>
        </w:rPr>
      </w:pPr>
      <w:r>
        <w:rPr>
          <w:rFonts w:hint="eastAsia" w:cs="宋体" w:asciiTheme="minorEastAsia" w:hAnsiTheme="minorEastAsia"/>
          <w:kern w:val="0"/>
          <w:sz w:val="24"/>
        </w:rPr>
        <w:t>A-2 设计阶段：</w:t>
      </w:r>
      <w:r>
        <w:rPr>
          <w:rFonts w:hint="eastAsia" w:cs="宋体" w:asciiTheme="minorEastAsia" w:hAnsiTheme="minorEastAsia"/>
          <w:sz w:val="24"/>
          <w:u w:val="single"/>
        </w:rPr>
        <w:t xml:space="preserve"> /</w:t>
      </w:r>
      <w:r>
        <w:rPr>
          <w:rFonts w:hint="eastAsia" w:cs="宋体" w:asciiTheme="minorEastAsia" w:hAnsiTheme="minorEastAsia"/>
          <w:sz w:val="24"/>
        </w:rPr>
        <w:t>。</w:t>
      </w:r>
    </w:p>
    <w:p w14:paraId="0E8F284F">
      <w:pPr>
        <w:snapToGrid w:val="0"/>
        <w:spacing w:before="156" w:beforeLines="50" w:after="156" w:afterLines="50" w:line="360" w:lineRule="auto"/>
        <w:ind w:firstLine="480" w:firstLineChars="200"/>
        <w:rPr>
          <w:rFonts w:cs="宋体" w:asciiTheme="minorEastAsia" w:hAnsiTheme="minorEastAsia"/>
          <w:sz w:val="24"/>
        </w:rPr>
      </w:pPr>
      <w:r>
        <w:rPr>
          <w:rFonts w:hint="eastAsia" w:cs="宋体" w:asciiTheme="minorEastAsia" w:hAnsiTheme="minorEastAsia"/>
          <w:kern w:val="0"/>
          <w:sz w:val="24"/>
        </w:rPr>
        <w:t>A-3 保修阶段：</w:t>
      </w:r>
      <w:r>
        <w:rPr>
          <w:rFonts w:hint="eastAsia" w:cs="宋体" w:asciiTheme="minorEastAsia" w:hAnsiTheme="minorEastAsia"/>
          <w:sz w:val="24"/>
          <w:u w:val="single"/>
        </w:rPr>
        <w:t xml:space="preserve"> / </w:t>
      </w:r>
      <w:r>
        <w:rPr>
          <w:rFonts w:hint="eastAsia" w:cs="宋体" w:asciiTheme="minorEastAsia" w:hAnsiTheme="minorEastAsia"/>
          <w:sz w:val="24"/>
        </w:rPr>
        <w:t>。</w:t>
      </w:r>
    </w:p>
    <w:p w14:paraId="250A0F2E">
      <w:pPr>
        <w:snapToGrid w:val="0"/>
        <w:spacing w:before="156" w:beforeLines="50" w:after="156" w:afterLines="50" w:line="360" w:lineRule="auto"/>
        <w:ind w:firstLine="480" w:firstLineChars="200"/>
        <w:rPr>
          <w:rFonts w:cs="宋体" w:asciiTheme="minorEastAsia" w:hAnsiTheme="minorEastAsia"/>
          <w:sz w:val="24"/>
        </w:rPr>
      </w:pPr>
      <w:r>
        <w:rPr>
          <w:rFonts w:hint="eastAsia" w:cs="宋体" w:asciiTheme="minorEastAsia" w:hAnsiTheme="minorEastAsia"/>
          <w:kern w:val="0"/>
          <w:sz w:val="24"/>
        </w:rPr>
        <w:t xml:space="preserve">A-4 </w:t>
      </w:r>
      <w:r>
        <w:rPr>
          <w:rFonts w:hint="eastAsia" w:cs="宋体" w:asciiTheme="minorEastAsia" w:hAnsiTheme="minorEastAsia"/>
          <w:sz w:val="24"/>
        </w:rPr>
        <w:t>其他（专业技术咨询、外部协调工作等）：</w:t>
      </w:r>
      <w:r>
        <w:rPr>
          <w:rFonts w:hint="eastAsia" w:cs="宋体" w:asciiTheme="minorEastAsia" w:hAnsiTheme="minorEastAsia"/>
          <w:sz w:val="24"/>
          <w:u w:val="single"/>
        </w:rPr>
        <w:t xml:space="preserve"> / </w:t>
      </w:r>
      <w:r>
        <w:rPr>
          <w:rFonts w:hint="eastAsia" w:cs="宋体" w:asciiTheme="minorEastAsia" w:hAnsiTheme="minorEastAsia"/>
          <w:sz w:val="24"/>
        </w:rPr>
        <w:t>。</w:t>
      </w:r>
    </w:p>
    <w:p w14:paraId="0DF51F32">
      <w:pPr>
        <w:snapToGrid w:val="0"/>
        <w:spacing w:before="156" w:beforeLines="50" w:after="156" w:afterLines="50" w:line="360" w:lineRule="auto"/>
        <w:ind w:firstLine="480" w:firstLineChars="200"/>
        <w:rPr>
          <w:rFonts w:cs="宋体" w:asciiTheme="minorEastAsia" w:hAnsiTheme="minorEastAsia"/>
          <w:sz w:val="24"/>
        </w:rPr>
      </w:pPr>
    </w:p>
    <w:p w14:paraId="0FBA7F95">
      <w:pPr>
        <w:spacing w:line="360" w:lineRule="auto"/>
        <w:rPr>
          <w:rFonts w:cs="宋体" w:asciiTheme="minorEastAsia" w:hAnsiTheme="minorEastAsia"/>
          <w:bCs/>
          <w:sz w:val="24"/>
        </w:rPr>
      </w:pPr>
    </w:p>
    <w:p w14:paraId="00BD365F">
      <w:pPr>
        <w:pageBreakBefore/>
        <w:spacing w:line="360" w:lineRule="auto"/>
        <w:jc w:val="center"/>
        <w:rPr>
          <w:rFonts w:cs="宋体" w:asciiTheme="minorEastAsia" w:hAnsiTheme="minorEastAsia"/>
          <w:b/>
          <w:bCs/>
          <w:sz w:val="24"/>
        </w:rPr>
      </w:pPr>
      <w:r>
        <w:rPr>
          <w:rFonts w:hint="eastAsia" w:cs="宋体" w:asciiTheme="minorEastAsia" w:hAnsiTheme="minorEastAsia"/>
          <w:b/>
          <w:bCs/>
          <w:sz w:val="24"/>
        </w:rPr>
        <w:t>附录B  委托人派遣的人员和提供的房屋、资料、设备</w:t>
      </w:r>
    </w:p>
    <w:p w14:paraId="75DB99AC">
      <w:pPr>
        <w:spacing w:before="156" w:beforeLines="50" w:line="400" w:lineRule="exact"/>
        <w:rPr>
          <w:rFonts w:cs="宋体" w:asciiTheme="minorEastAsia" w:hAnsiTheme="minorEastAsia"/>
          <w:b/>
          <w:kern w:val="0"/>
          <w:sz w:val="24"/>
        </w:rPr>
      </w:pPr>
      <w:r>
        <w:rPr>
          <w:rFonts w:hint="eastAsia" w:cs="宋体" w:asciiTheme="minorEastAsia" w:hAnsiTheme="minorEastAsia"/>
          <w:b/>
          <w:kern w:val="0"/>
          <w:sz w:val="24"/>
        </w:rPr>
        <w:t>B-1  委托人派遣的人员</w:t>
      </w:r>
    </w:p>
    <w:tbl>
      <w:tblPr>
        <w:tblStyle w:val="24"/>
        <w:tblW w:w="96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35"/>
        <w:gridCol w:w="1324"/>
        <w:gridCol w:w="2236"/>
        <w:gridCol w:w="2237"/>
      </w:tblGrid>
      <w:tr w14:paraId="0F133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3835" w:type="dxa"/>
            <w:vAlign w:val="center"/>
          </w:tcPr>
          <w:p w14:paraId="04A3606A">
            <w:pPr>
              <w:snapToGrid w:val="0"/>
              <w:spacing w:line="240" w:lineRule="auto"/>
              <w:ind w:left="0" w:leftChars="0" w:right="0" w:rightChars="0" w:firstLine="0" w:firstLineChars="0"/>
              <w:jc w:val="center"/>
              <w:rPr>
                <w:rFonts w:cs="宋体" w:asciiTheme="minorEastAsia" w:hAnsiTheme="minorEastAsia"/>
                <w:b/>
                <w:sz w:val="24"/>
              </w:rPr>
            </w:pPr>
            <w:r>
              <w:rPr>
                <w:rFonts w:hint="eastAsia" w:cs="宋体" w:asciiTheme="minorEastAsia" w:hAnsiTheme="minorEastAsia"/>
                <w:b/>
                <w:sz w:val="24"/>
              </w:rPr>
              <w:t>名称</w:t>
            </w:r>
          </w:p>
        </w:tc>
        <w:tc>
          <w:tcPr>
            <w:tcW w:w="1324" w:type="dxa"/>
            <w:vAlign w:val="center"/>
          </w:tcPr>
          <w:p w14:paraId="0AB66401">
            <w:pPr>
              <w:snapToGrid w:val="0"/>
              <w:spacing w:line="240" w:lineRule="auto"/>
              <w:ind w:left="0" w:leftChars="0" w:right="0" w:rightChars="0" w:firstLine="0" w:firstLineChars="0"/>
              <w:jc w:val="center"/>
              <w:rPr>
                <w:rFonts w:cs="宋体" w:asciiTheme="minorEastAsia" w:hAnsiTheme="minorEastAsia"/>
                <w:b/>
                <w:sz w:val="24"/>
              </w:rPr>
            </w:pPr>
            <w:r>
              <w:rPr>
                <w:rFonts w:hint="eastAsia" w:cs="宋体" w:asciiTheme="minorEastAsia" w:hAnsiTheme="minorEastAsia"/>
                <w:b/>
                <w:sz w:val="24"/>
              </w:rPr>
              <w:t>数量</w:t>
            </w:r>
          </w:p>
        </w:tc>
        <w:tc>
          <w:tcPr>
            <w:tcW w:w="2236" w:type="dxa"/>
            <w:vAlign w:val="center"/>
          </w:tcPr>
          <w:p w14:paraId="12273543">
            <w:pPr>
              <w:snapToGrid w:val="0"/>
              <w:spacing w:line="240" w:lineRule="auto"/>
              <w:ind w:left="0" w:leftChars="0" w:right="0" w:rightChars="0" w:firstLine="0" w:firstLineChars="0"/>
              <w:jc w:val="center"/>
              <w:rPr>
                <w:rFonts w:cs="宋体" w:asciiTheme="minorEastAsia" w:hAnsiTheme="minorEastAsia"/>
                <w:b/>
                <w:sz w:val="24"/>
              </w:rPr>
            </w:pPr>
            <w:r>
              <w:rPr>
                <w:rFonts w:hint="eastAsia" w:cs="宋体" w:asciiTheme="minorEastAsia" w:hAnsiTheme="minorEastAsia"/>
                <w:b/>
                <w:sz w:val="24"/>
              </w:rPr>
              <w:t>工作要求</w:t>
            </w:r>
          </w:p>
        </w:tc>
        <w:tc>
          <w:tcPr>
            <w:tcW w:w="2237" w:type="dxa"/>
            <w:vAlign w:val="center"/>
          </w:tcPr>
          <w:p w14:paraId="0532F5FA">
            <w:pPr>
              <w:snapToGrid w:val="0"/>
              <w:spacing w:line="240" w:lineRule="auto"/>
              <w:ind w:left="0" w:leftChars="0" w:right="0" w:rightChars="0" w:firstLine="0" w:firstLineChars="0"/>
              <w:jc w:val="center"/>
              <w:rPr>
                <w:rFonts w:cs="宋体" w:asciiTheme="minorEastAsia" w:hAnsiTheme="minorEastAsia"/>
                <w:b/>
                <w:sz w:val="24"/>
              </w:rPr>
            </w:pPr>
            <w:r>
              <w:rPr>
                <w:rFonts w:hint="eastAsia" w:cs="宋体" w:asciiTheme="minorEastAsia" w:hAnsiTheme="minorEastAsia"/>
                <w:b/>
                <w:sz w:val="24"/>
              </w:rPr>
              <w:t>提供时间</w:t>
            </w:r>
          </w:p>
        </w:tc>
      </w:tr>
      <w:tr w14:paraId="2C68F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35" w:type="dxa"/>
            <w:vAlign w:val="center"/>
          </w:tcPr>
          <w:p w14:paraId="6F791CDF">
            <w:pPr>
              <w:snapToGrid w:val="0"/>
              <w:spacing w:line="240" w:lineRule="auto"/>
              <w:ind w:left="0" w:leftChars="0" w:right="0" w:rightChars="0" w:firstLine="0" w:firstLineChars="0"/>
              <w:jc w:val="center"/>
              <w:rPr>
                <w:rFonts w:cs="宋体" w:asciiTheme="minorEastAsia" w:hAnsiTheme="minorEastAsia"/>
                <w:sz w:val="24"/>
              </w:rPr>
            </w:pPr>
            <w:r>
              <w:rPr>
                <w:rFonts w:hint="eastAsia" w:cs="宋体" w:asciiTheme="minorEastAsia" w:hAnsiTheme="minorEastAsia"/>
                <w:sz w:val="24"/>
              </w:rPr>
              <w:t xml:space="preserve">1. 工程技术人员 </w:t>
            </w:r>
          </w:p>
        </w:tc>
        <w:tc>
          <w:tcPr>
            <w:tcW w:w="1324" w:type="dxa"/>
            <w:vAlign w:val="center"/>
          </w:tcPr>
          <w:p w14:paraId="145585C2">
            <w:pPr>
              <w:snapToGrid w:val="0"/>
              <w:spacing w:line="240" w:lineRule="auto"/>
              <w:ind w:left="0" w:leftChars="0" w:right="0" w:rightChars="0" w:firstLine="0" w:firstLineChars="0"/>
              <w:jc w:val="center"/>
              <w:rPr>
                <w:rFonts w:cs="宋体" w:asciiTheme="minorEastAsia" w:hAnsiTheme="minorEastAsia"/>
                <w:sz w:val="24"/>
              </w:rPr>
            </w:pPr>
          </w:p>
        </w:tc>
        <w:tc>
          <w:tcPr>
            <w:tcW w:w="2236" w:type="dxa"/>
            <w:vAlign w:val="center"/>
          </w:tcPr>
          <w:p w14:paraId="2FF928F0">
            <w:pPr>
              <w:snapToGrid w:val="0"/>
              <w:spacing w:line="240" w:lineRule="auto"/>
              <w:ind w:left="0" w:leftChars="0" w:right="0" w:rightChars="0" w:firstLine="0" w:firstLineChars="0"/>
              <w:jc w:val="center"/>
              <w:rPr>
                <w:rFonts w:cs="宋体" w:asciiTheme="minorEastAsia" w:hAnsiTheme="minorEastAsia"/>
                <w:sz w:val="24"/>
              </w:rPr>
            </w:pPr>
          </w:p>
        </w:tc>
        <w:tc>
          <w:tcPr>
            <w:tcW w:w="2237" w:type="dxa"/>
            <w:vAlign w:val="center"/>
          </w:tcPr>
          <w:p w14:paraId="04A44147">
            <w:pPr>
              <w:snapToGrid w:val="0"/>
              <w:spacing w:line="240" w:lineRule="auto"/>
              <w:ind w:left="0" w:leftChars="0" w:right="0" w:rightChars="0" w:firstLine="0" w:firstLineChars="0"/>
              <w:jc w:val="center"/>
              <w:rPr>
                <w:rFonts w:cs="宋体" w:asciiTheme="minorEastAsia" w:hAnsiTheme="minorEastAsia"/>
                <w:sz w:val="24"/>
              </w:rPr>
            </w:pPr>
          </w:p>
        </w:tc>
      </w:tr>
      <w:tr w14:paraId="142C3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35" w:type="dxa"/>
            <w:vAlign w:val="center"/>
          </w:tcPr>
          <w:p w14:paraId="52A07F07">
            <w:pPr>
              <w:snapToGrid w:val="0"/>
              <w:spacing w:line="240" w:lineRule="auto"/>
              <w:ind w:left="0" w:leftChars="0" w:right="0" w:rightChars="0" w:firstLine="0" w:firstLineChars="0"/>
              <w:jc w:val="center"/>
              <w:rPr>
                <w:rFonts w:cs="宋体" w:asciiTheme="minorEastAsia" w:hAnsiTheme="minorEastAsia"/>
                <w:sz w:val="24"/>
              </w:rPr>
            </w:pPr>
            <w:r>
              <w:rPr>
                <w:rFonts w:hint="eastAsia" w:cs="宋体" w:asciiTheme="minorEastAsia" w:hAnsiTheme="minorEastAsia"/>
                <w:sz w:val="24"/>
              </w:rPr>
              <w:t>2. 辅助工作人员</w:t>
            </w:r>
          </w:p>
        </w:tc>
        <w:tc>
          <w:tcPr>
            <w:tcW w:w="1324" w:type="dxa"/>
            <w:vAlign w:val="center"/>
          </w:tcPr>
          <w:p w14:paraId="72362075">
            <w:pPr>
              <w:snapToGrid w:val="0"/>
              <w:spacing w:line="240" w:lineRule="auto"/>
              <w:ind w:left="0" w:leftChars="0" w:right="0" w:rightChars="0" w:firstLine="0" w:firstLineChars="0"/>
              <w:jc w:val="center"/>
              <w:rPr>
                <w:rFonts w:cs="宋体" w:asciiTheme="minorEastAsia" w:hAnsiTheme="minorEastAsia"/>
                <w:sz w:val="24"/>
              </w:rPr>
            </w:pPr>
          </w:p>
        </w:tc>
        <w:tc>
          <w:tcPr>
            <w:tcW w:w="2236" w:type="dxa"/>
            <w:vAlign w:val="center"/>
          </w:tcPr>
          <w:p w14:paraId="21881E71">
            <w:pPr>
              <w:snapToGrid w:val="0"/>
              <w:spacing w:line="240" w:lineRule="auto"/>
              <w:ind w:left="0" w:leftChars="0" w:right="0" w:rightChars="0" w:firstLine="0" w:firstLineChars="0"/>
              <w:jc w:val="center"/>
              <w:rPr>
                <w:rFonts w:cs="宋体" w:asciiTheme="minorEastAsia" w:hAnsiTheme="minorEastAsia"/>
                <w:sz w:val="24"/>
              </w:rPr>
            </w:pPr>
          </w:p>
        </w:tc>
        <w:tc>
          <w:tcPr>
            <w:tcW w:w="2237" w:type="dxa"/>
            <w:vAlign w:val="center"/>
          </w:tcPr>
          <w:p w14:paraId="7E04AB4A">
            <w:pPr>
              <w:snapToGrid w:val="0"/>
              <w:spacing w:line="240" w:lineRule="auto"/>
              <w:ind w:left="0" w:leftChars="0" w:right="0" w:rightChars="0" w:firstLine="0" w:firstLineChars="0"/>
              <w:jc w:val="center"/>
              <w:rPr>
                <w:rFonts w:cs="宋体" w:asciiTheme="minorEastAsia" w:hAnsiTheme="minorEastAsia"/>
                <w:sz w:val="24"/>
              </w:rPr>
            </w:pPr>
          </w:p>
        </w:tc>
      </w:tr>
      <w:tr w14:paraId="2ABFD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35" w:type="dxa"/>
            <w:vAlign w:val="center"/>
          </w:tcPr>
          <w:p w14:paraId="7F885749">
            <w:pPr>
              <w:snapToGrid w:val="0"/>
              <w:spacing w:line="240" w:lineRule="auto"/>
              <w:ind w:left="0" w:leftChars="0" w:right="0" w:rightChars="0" w:firstLine="0" w:firstLineChars="0"/>
              <w:jc w:val="center"/>
              <w:rPr>
                <w:rFonts w:cs="宋体" w:asciiTheme="minorEastAsia" w:hAnsiTheme="minorEastAsia"/>
                <w:sz w:val="24"/>
              </w:rPr>
            </w:pPr>
            <w:r>
              <w:rPr>
                <w:rFonts w:hint="eastAsia" w:cs="宋体" w:asciiTheme="minorEastAsia" w:hAnsiTheme="minorEastAsia"/>
                <w:sz w:val="24"/>
              </w:rPr>
              <w:t>3. 其他人员</w:t>
            </w:r>
          </w:p>
        </w:tc>
        <w:tc>
          <w:tcPr>
            <w:tcW w:w="1324" w:type="dxa"/>
            <w:vAlign w:val="center"/>
          </w:tcPr>
          <w:p w14:paraId="2C897C10">
            <w:pPr>
              <w:snapToGrid w:val="0"/>
              <w:spacing w:line="240" w:lineRule="auto"/>
              <w:ind w:left="0" w:leftChars="0" w:right="0" w:rightChars="0" w:firstLine="0" w:firstLineChars="0"/>
              <w:jc w:val="center"/>
              <w:rPr>
                <w:rFonts w:cs="宋体" w:asciiTheme="minorEastAsia" w:hAnsiTheme="minorEastAsia"/>
                <w:sz w:val="24"/>
              </w:rPr>
            </w:pPr>
          </w:p>
        </w:tc>
        <w:tc>
          <w:tcPr>
            <w:tcW w:w="2236" w:type="dxa"/>
            <w:vAlign w:val="center"/>
          </w:tcPr>
          <w:p w14:paraId="3169450F">
            <w:pPr>
              <w:snapToGrid w:val="0"/>
              <w:spacing w:line="240" w:lineRule="auto"/>
              <w:ind w:left="0" w:leftChars="0" w:right="0" w:rightChars="0" w:firstLine="0" w:firstLineChars="0"/>
              <w:jc w:val="center"/>
              <w:rPr>
                <w:rFonts w:cs="宋体" w:asciiTheme="minorEastAsia" w:hAnsiTheme="minorEastAsia"/>
                <w:sz w:val="24"/>
              </w:rPr>
            </w:pPr>
          </w:p>
        </w:tc>
        <w:tc>
          <w:tcPr>
            <w:tcW w:w="2237" w:type="dxa"/>
            <w:vAlign w:val="center"/>
          </w:tcPr>
          <w:p w14:paraId="2E8B22B9">
            <w:pPr>
              <w:snapToGrid w:val="0"/>
              <w:spacing w:line="240" w:lineRule="auto"/>
              <w:ind w:left="0" w:leftChars="0" w:right="0" w:rightChars="0" w:firstLine="0" w:firstLineChars="0"/>
              <w:jc w:val="center"/>
              <w:rPr>
                <w:rFonts w:cs="宋体" w:asciiTheme="minorEastAsia" w:hAnsiTheme="minorEastAsia"/>
                <w:sz w:val="24"/>
              </w:rPr>
            </w:pPr>
          </w:p>
        </w:tc>
      </w:tr>
    </w:tbl>
    <w:p w14:paraId="1CBF9C05">
      <w:pPr>
        <w:spacing w:before="156" w:beforeLines="50" w:line="400" w:lineRule="exact"/>
        <w:outlineLvl w:val="0"/>
        <w:rPr>
          <w:rFonts w:cs="宋体" w:asciiTheme="minorEastAsia" w:hAnsiTheme="minorEastAsia"/>
          <w:b/>
          <w:kern w:val="0"/>
          <w:sz w:val="24"/>
        </w:rPr>
      </w:pPr>
      <w:bookmarkStart w:id="91" w:name="_Toc211511470"/>
      <w:r>
        <w:rPr>
          <w:rFonts w:hint="eastAsia" w:cs="宋体" w:asciiTheme="minorEastAsia" w:hAnsiTheme="minorEastAsia"/>
          <w:b/>
          <w:kern w:val="0"/>
          <w:sz w:val="24"/>
        </w:rPr>
        <w:t>B-2  委托人提供的房屋</w:t>
      </w:r>
      <w:bookmarkEnd w:id="91"/>
    </w:p>
    <w:tbl>
      <w:tblPr>
        <w:tblStyle w:val="24"/>
        <w:tblW w:w="96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29"/>
        <w:gridCol w:w="1355"/>
        <w:gridCol w:w="1355"/>
        <w:gridCol w:w="2293"/>
      </w:tblGrid>
      <w:tr w14:paraId="5BC51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4629" w:type="dxa"/>
            <w:vAlign w:val="center"/>
          </w:tcPr>
          <w:p w14:paraId="7DD13A90">
            <w:pPr>
              <w:snapToGrid w:val="0"/>
              <w:spacing w:line="240" w:lineRule="auto"/>
              <w:ind w:left="0" w:leftChars="0" w:right="0" w:rightChars="0" w:firstLine="0" w:firstLineChars="0"/>
              <w:jc w:val="center"/>
              <w:rPr>
                <w:rFonts w:cs="宋体" w:asciiTheme="minorEastAsia" w:hAnsiTheme="minorEastAsia"/>
                <w:b/>
                <w:sz w:val="24"/>
              </w:rPr>
            </w:pPr>
            <w:r>
              <w:rPr>
                <w:rFonts w:hint="eastAsia" w:cs="宋体" w:asciiTheme="minorEastAsia" w:hAnsiTheme="minorEastAsia"/>
                <w:b/>
                <w:sz w:val="24"/>
              </w:rPr>
              <w:t>名称</w:t>
            </w:r>
          </w:p>
        </w:tc>
        <w:tc>
          <w:tcPr>
            <w:tcW w:w="1355" w:type="dxa"/>
            <w:vAlign w:val="center"/>
          </w:tcPr>
          <w:p w14:paraId="5EC0A2D7">
            <w:pPr>
              <w:snapToGrid w:val="0"/>
              <w:spacing w:line="240" w:lineRule="auto"/>
              <w:ind w:left="0" w:leftChars="0" w:right="0" w:rightChars="0" w:firstLine="0" w:firstLineChars="0"/>
              <w:jc w:val="center"/>
              <w:rPr>
                <w:rFonts w:cs="宋体" w:asciiTheme="minorEastAsia" w:hAnsiTheme="minorEastAsia"/>
                <w:b/>
                <w:sz w:val="24"/>
              </w:rPr>
            </w:pPr>
            <w:r>
              <w:rPr>
                <w:rFonts w:hint="eastAsia" w:cs="宋体" w:asciiTheme="minorEastAsia" w:hAnsiTheme="minorEastAsia"/>
                <w:b/>
                <w:sz w:val="24"/>
              </w:rPr>
              <w:t>数量</w:t>
            </w:r>
          </w:p>
        </w:tc>
        <w:tc>
          <w:tcPr>
            <w:tcW w:w="1355" w:type="dxa"/>
            <w:vAlign w:val="center"/>
          </w:tcPr>
          <w:p w14:paraId="1F340E1D">
            <w:pPr>
              <w:snapToGrid w:val="0"/>
              <w:spacing w:line="240" w:lineRule="auto"/>
              <w:ind w:left="0" w:leftChars="0" w:right="0" w:rightChars="0" w:firstLine="0" w:firstLineChars="0"/>
              <w:jc w:val="center"/>
              <w:rPr>
                <w:rFonts w:cs="宋体" w:asciiTheme="minorEastAsia" w:hAnsiTheme="minorEastAsia"/>
                <w:b/>
                <w:sz w:val="24"/>
              </w:rPr>
            </w:pPr>
            <w:r>
              <w:rPr>
                <w:rFonts w:hint="eastAsia" w:cs="宋体" w:asciiTheme="minorEastAsia" w:hAnsiTheme="minorEastAsia"/>
                <w:b/>
                <w:sz w:val="24"/>
              </w:rPr>
              <w:t>面积</w:t>
            </w:r>
          </w:p>
        </w:tc>
        <w:tc>
          <w:tcPr>
            <w:tcW w:w="2293" w:type="dxa"/>
            <w:vAlign w:val="center"/>
          </w:tcPr>
          <w:p w14:paraId="2B0E399D">
            <w:pPr>
              <w:snapToGrid w:val="0"/>
              <w:spacing w:line="240" w:lineRule="auto"/>
              <w:ind w:left="0" w:leftChars="0" w:right="0" w:rightChars="0" w:firstLine="0" w:firstLineChars="0"/>
              <w:jc w:val="center"/>
              <w:rPr>
                <w:rFonts w:cs="宋体" w:asciiTheme="minorEastAsia" w:hAnsiTheme="minorEastAsia"/>
                <w:b/>
                <w:sz w:val="24"/>
              </w:rPr>
            </w:pPr>
            <w:r>
              <w:rPr>
                <w:rFonts w:hint="eastAsia" w:cs="宋体" w:asciiTheme="minorEastAsia" w:hAnsiTheme="minorEastAsia"/>
                <w:b/>
                <w:sz w:val="24"/>
              </w:rPr>
              <w:t>提供时间</w:t>
            </w:r>
          </w:p>
        </w:tc>
      </w:tr>
      <w:tr w14:paraId="5DF3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629" w:type="dxa"/>
            <w:vAlign w:val="center"/>
          </w:tcPr>
          <w:p w14:paraId="32EAC3CA">
            <w:pPr>
              <w:snapToGrid w:val="0"/>
              <w:spacing w:line="240" w:lineRule="auto"/>
              <w:ind w:left="0" w:leftChars="0" w:right="0" w:rightChars="0" w:firstLine="0" w:firstLineChars="0"/>
              <w:jc w:val="left"/>
              <w:rPr>
                <w:rFonts w:cs="宋体" w:asciiTheme="minorEastAsia" w:hAnsiTheme="minorEastAsia"/>
                <w:sz w:val="24"/>
              </w:rPr>
            </w:pPr>
            <w:r>
              <w:rPr>
                <w:rFonts w:hint="eastAsia" w:cs="宋体" w:asciiTheme="minorEastAsia" w:hAnsiTheme="minorEastAsia"/>
                <w:sz w:val="24"/>
              </w:rPr>
              <w:t>1. 办公用房</w:t>
            </w:r>
          </w:p>
        </w:tc>
        <w:tc>
          <w:tcPr>
            <w:tcW w:w="1355" w:type="dxa"/>
            <w:vAlign w:val="center"/>
          </w:tcPr>
          <w:p w14:paraId="7365ED87">
            <w:pPr>
              <w:snapToGrid w:val="0"/>
              <w:spacing w:line="240" w:lineRule="auto"/>
              <w:ind w:left="0" w:leftChars="0" w:right="0" w:rightChars="0" w:firstLine="0" w:firstLineChars="0"/>
              <w:jc w:val="center"/>
              <w:rPr>
                <w:rFonts w:cs="宋体" w:asciiTheme="minorEastAsia" w:hAnsiTheme="minorEastAsia"/>
                <w:sz w:val="24"/>
              </w:rPr>
            </w:pPr>
          </w:p>
        </w:tc>
        <w:tc>
          <w:tcPr>
            <w:tcW w:w="1355" w:type="dxa"/>
            <w:vAlign w:val="center"/>
          </w:tcPr>
          <w:p w14:paraId="28564962">
            <w:pPr>
              <w:snapToGrid w:val="0"/>
              <w:spacing w:line="240" w:lineRule="auto"/>
              <w:ind w:left="0" w:leftChars="0" w:right="0" w:rightChars="0" w:firstLine="0" w:firstLineChars="0"/>
              <w:jc w:val="center"/>
              <w:rPr>
                <w:rFonts w:cs="宋体" w:asciiTheme="minorEastAsia" w:hAnsiTheme="minorEastAsia"/>
                <w:sz w:val="24"/>
              </w:rPr>
            </w:pPr>
          </w:p>
        </w:tc>
        <w:tc>
          <w:tcPr>
            <w:tcW w:w="2293" w:type="dxa"/>
            <w:vAlign w:val="center"/>
          </w:tcPr>
          <w:p w14:paraId="1149F977">
            <w:pPr>
              <w:snapToGrid w:val="0"/>
              <w:spacing w:line="240" w:lineRule="auto"/>
              <w:ind w:left="0" w:leftChars="0" w:right="0" w:rightChars="0" w:firstLine="0" w:firstLineChars="0"/>
              <w:jc w:val="center"/>
              <w:rPr>
                <w:rFonts w:cs="宋体" w:asciiTheme="minorEastAsia" w:hAnsiTheme="minorEastAsia"/>
                <w:sz w:val="24"/>
              </w:rPr>
            </w:pPr>
          </w:p>
        </w:tc>
      </w:tr>
      <w:tr w14:paraId="75CD1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629" w:type="dxa"/>
            <w:vAlign w:val="center"/>
          </w:tcPr>
          <w:p w14:paraId="73EE7F35">
            <w:pPr>
              <w:snapToGrid w:val="0"/>
              <w:spacing w:line="240" w:lineRule="auto"/>
              <w:ind w:left="0" w:leftChars="0" w:right="0" w:rightChars="0" w:firstLine="0" w:firstLineChars="0"/>
              <w:jc w:val="left"/>
              <w:rPr>
                <w:rFonts w:cs="宋体" w:asciiTheme="minorEastAsia" w:hAnsiTheme="minorEastAsia"/>
                <w:sz w:val="24"/>
              </w:rPr>
            </w:pPr>
            <w:r>
              <w:rPr>
                <w:rFonts w:hint="eastAsia" w:cs="宋体" w:asciiTheme="minorEastAsia" w:hAnsiTheme="minorEastAsia"/>
                <w:sz w:val="24"/>
              </w:rPr>
              <w:t>2. 生活用房</w:t>
            </w:r>
          </w:p>
        </w:tc>
        <w:tc>
          <w:tcPr>
            <w:tcW w:w="1355" w:type="dxa"/>
            <w:vAlign w:val="center"/>
          </w:tcPr>
          <w:p w14:paraId="1F931309">
            <w:pPr>
              <w:snapToGrid w:val="0"/>
              <w:spacing w:line="240" w:lineRule="auto"/>
              <w:ind w:left="0" w:leftChars="0" w:right="0" w:rightChars="0" w:firstLine="0" w:firstLineChars="0"/>
              <w:jc w:val="center"/>
              <w:rPr>
                <w:rFonts w:cs="宋体" w:asciiTheme="minorEastAsia" w:hAnsiTheme="minorEastAsia"/>
                <w:sz w:val="24"/>
              </w:rPr>
            </w:pPr>
          </w:p>
        </w:tc>
        <w:tc>
          <w:tcPr>
            <w:tcW w:w="1355" w:type="dxa"/>
            <w:vAlign w:val="center"/>
          </w:tcPr>
          <w:p w14:paraId="684E00A1">
            <w:pPr>
              <w:snapToGrid w:val="0"/>
              <w:spacing w:line="240" w:lineRule="auto"/>
              <w:ind w:left="0" w:leftChars="0" w:right="0" w:rightChars="0" w:firstLine="0" w:firstLineChars="0"/>
              <w:jc w:val="center"/>
              <w:rPr>
                <w:rFonts w:cs="宋体" w:asciiTheme="minorEastAsia" w:hAnsiTheme="minorEastAsia"/>
                <w:sz w:val="24"/>
              </w:rPr>
            </w:pPr>
          </w:p>
        </w:tc>
        <w:tc>
          <w:tcPr>
            <w:tcW w:w="2293" w:type="dxa"/>
            <w:vAlign w:val="center"/>
          </w:tcPr>
          <w:p w14:paraId="137B21D1">
            <w:pPr>
              <w:snapToGrid w:val="0"/>
              <w:spacing w:line="240" w:lineRule="auto"/>
              <w:ind w:left="0" w:leftChars="0" w:right="0" w:rightChars="0" w:firstLine="0" w:firstLineChars="0"/>
              <w:jc w:val="center"/>
              <w:rPr>
                <w:rFonts w:cs="宋体" w:asciiTheme="minorEastAsia" w:hAnsiTheme="minorEastAsia"/>
                <w:sz w:val="24"/>
              </w:rPr>
            </w:pPr>
          </w:p>
        </w:tc>
      </w:tr>
      <w:tr w14:paraId="5B954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629" w:type="dxa"/>
            <w:vAlign w:val="center"/>
          </w:tcPr>
          <w:p w14:paraId="57D31935">
            <w:pPr>
              <w:snapToGrid w:val="0"/>
              <w:spacing w:line="240" w:lineRule="auto"/>
              <w:ind w:left="0" w:leftChars="0" w:right="0" w:rightChars="0" w:firstLine="0" w:firstLineChars="0"/>
              <w:jc w:val="left"/>
              <w:rPr>
                <w:rFonts w:cs="宋体" w:asciiTheme="minorEastAsia" w:hAnsiTheme="minorEastAsia"/>
                <w:dstrike/>
                <w:sz w:val="24"/>
              </w:rPr>
            </w:pPr>
            <w:r>
              <w:rPr>
                <w:rFonts w:hint="eastAsia" w:cs="宋体" w:asciiTheme="minorEastAsia" w:hAnsiTheme="minorEastAsia"/>
                <w:sz w:val="24"/>
              </w:rPr>
              <w:t>3. 试验用房</w:t>
            </w:r>
          </w:p>
        </w:tc>
        <w:tc>
          <w:tcPr>
            <w:tcW w:w="1355" w:type="dxa"/>
            <w:vAlign w:val="center"/>
          </w:tcPr>
          <w:p w14:paraId="587ADA19">
            <w:pPr>
              <w:snapToGrid w:val="0"/>
              <w:spacing w:line="240" w:lineRule="auto"/>
              <w:ind w:left="0" w:leftChars="0" w:right="0" w:rightChars="0" w:firstLine="0" w:firstLineChars="0"/>
              <w:jc w:val="center"/>
              <w:rPr>
                <w:rFonts w:cs="宋体" w:asciiTheme="minorEastAsia" w:hAnsiTheme="minorEastAsia"/>
                <w:sz w:val="24"/>
              </w:rPr>
            </w:pPr>
          </w:p>
        </w:tc>
        <w:tc>
          <w:tcPr>
            <w:tcW w:w="1355" w:type="dxa"/>
            <w:vAlign w:val="center"/>
          </w:tcPr>
          <w:p w14:paraId="7C0DD4BC">
            <w:pPr>
              <w:snapToGrid w:val="0"/>
              <w:spacing w:line="240" w:lineRule="auto"/>
              <w:ind w:left="0" w:leftChars="0" w:right="0" w:rightChars="0" w:firstLine="0" w:firstLineChars="0"/>
              <w:jc w:val="center"/>
              <w:rPr>
                <w:rFonts w:cs="宋体" w:asciiTheme="minorEastAsia" w:hAnsiTheme="minorEastAsia"/>
                <w:sz w:val="24"/>
              </w:rPr>
            </w:pPr>
          </w:p>
        </w:tc>
        <w:tc>
          <w:tcPr>
            <w:tcW w:w="2293" w:type="dxa"/>
            <w:vAlign w:val="center"/>
          </w:tcPr>
          <w:p w14:paraId="39A72077">
            <w:pPr>
              <w:snapToGrid w:val="0"/>
              <w:spacing w:line="240" w:lineRule="auto"/>
              <w:ind w:left="0" w:leftChars="0" w:right="0" w:rightChars="0" w:firstLine="0" w:firstLineChars="0"/>
              <w:jc w:val="center"/>
              <w:rPr>
                <w:rFonts w:cs="宋体" w:asciiTheme="minorEastAsia" w:hAnsiTheme="minorEastAsia"/>
                <w:sz w:val="24"/>
              </w:rPr>
            </w:pPr>
          </w:p>
        </w:tc>
      </w:tr>
      <w:tr w14:paraId="3C1C6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629" w:type="dxa"/>
            <w:vAlign w:val="center"/>
          </w:tcPr>
          <w:p w14:paraId="098E7CA5">
            <w:pPr>
              <w:snapToGrid w:val="0"/>
              <w:spacing w:line="240" w:lineRule="auto"/>
              <w:ind w:left="0" w:leftChars="0" w:right="0" w:rightChars="0" w:firstLine="0" w:firstLineChars="0"/>
              <w:jc w:val="left"/>
              <w:rPr>
                <w:rFonts w:cs="宋体" w:asciiTheme="minorEastAsia" w:hAnsiTheme="minorEastAsia"/>
                <w:sz w:val="24"/>
              </w:rPr>
            </w:pPr>
            <w:r>
              <w:rPr>
                <w:rFonts w:hint="eastAsia" w:cs="宋体" w:asciiTheme="minorEastAsia" w:hAnsiTheme="minorEastAsia"/>
                <w:sz w:val="24"/>
              </w:rPr>
              <w:t>4. 样品用房</w:t>
            </w:r>
          </w:p>
        </w:tc>
        <w:tc>
          <w:tcPr>
            <w:tcW w:w="1355" w:type="dxa"/>
            <w:vAlign w:val="center"/>
          </w:tcPr>
          <w:p w14:paraId="3A508C99">
            <w:pPr>
              <w:snapToGrid w:val="0"/>
              <w:spacing w:line="240" w:lineRule="auto"/>
              <w:ind w:left="0" w:leftChars="0" w:right="0" w:rightChars="0" w:firstLine="0" w:firstLineChars="0"/>
              <w:jc w:val="center"/>
              <w:rPr>
                <w:rFonts w:cs="宋体" w:asciiTheme="minorEastAsia" w:hAnsiTheme="minorEastAsia"/>
                <w:sz w:val="24"/>
              </w:rPr>
            </w:pPr>
          </w:p>
        </w:tc>
        <w:tc>
          <w:tcPr>
            <w:tcW w:w="1355" w:type="dxa"/>
            <w:vAlign w:val="center"/>
          </w:tcPr>
          <w:p w14:paraId="3F2EAE70">
            <w:pPr>
              <w:snapToGrid w:val="0"/>
              <w:spacing w:line="240" w:lineRule="auto"/>
              <w:ind w:left="0" w:leftChars="0" w:right="0" w:rightChars="0" w:firstLine="0" w:firstLineChars="0"/>
              <w:jc w:val="center"/>
              <w:rPr>
                <w:rFonts w:cs="宋体" w:asciiTheme="minorEastAsia" w:hAnsiTheme="minorEastAsia"/>
                <w:sz w:val="24"/>
              </w:rPr>
            </w:pPr>
          </w:p>
        </w:tc>
        <w:tc>
          <w:tcPr>
            <w:tcW w:w="2293" w:type="dxa"/>
            <w:vAlign w:val="center"/>
          </w:tcPr>
          <w:p w14:paraId="7CE6C4E4">
            <w:pPr>
              <w:snapToGrid w:val="0"/>
              <w:spacing w:line="240" w:lineRule="auto"/>
              <w:ind w:left="0" w:leftChars="0" w:right="0" w:rightChars="0" w:firstLine="0" w:firstLineChars="0"/>
              <w:jc w:val="center"/>
              <w:rPr>
                <w:rFonts w:cs="宋体" w:asciiTheme="minorEastAsia" w:hAnsiTheme="minorEastAsia"/>
                <w:sz w:val="24"/>
              </w:rPr>
            </w:pPr>
          </w:p>
        </w:tc>
      </w:tr>
      <w:tr w14:paraId="2DACF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629" w:type="dxa"/>
            <w:vAlign w:val="center"/>
          </w:tcPr>
          <w:p w14:paraId="2898DA85">
            <w:pPr>
              <w:snapToGrid w:val="0"/>
              <w:spacing w:line="240" w:lineRule="auto"/>
              <w:ind w:left="0" w:leftChars="0" w:right="0" w:rightChars="0" w:firstLine="0" w:firstLineChars="0"/>
              <w:jc w:val="left"/>
              <w:rPr>
                <w:rFonts w:cs="宋体" w:asciiTheme="minorEastAsia" w:hAnsiTheme="minorEastAsia"/>
                <w:sz w:val="24"/>
              </w:rPr>
            </w:pPr>
            <w:r>
              <w:rPr>
                <w:rFonts w:hint="eastAsia" w:cs="宋体" w:asciiTheme="minorEastAsia" w:hAnsiTheme="minorEastAsia"/>
                <w:sz w:val="24"/>
              </w:rPr>
              <w:t>用餐及其他生活条件</w:t>
            </w:r>
          </w:p>
        </w:tc>
        <w:tc>
          <w:tcPr>
            <w:tcW w:w="2293" w:type="dxa"/>
            <w:gridSpan w:val="3"/>
            <w:vAlign w:val="center"/>
          </w:tcPr>
          <w:p w14:paraId="0B03D91E">
            <w:pPr>
              <w:snapToGrid w:val="0"/>
              <w:spacing w:line="240" w:lineRule="auto"/>
              <w:ind w:left="0" w:leftChars="0" w:right="0" w:rightChars="0" w:firstLine="0" w:firstLineChars="0"/>
              <w:jc w:val="center"/>
              <w:rPr>
                <w:rFonts w:cs="宋体" w:asciiTheme="minorEastAsia" w:hAnsiTheme="minorEastAsia"/>
                <w:sz w:val="24"/>
              </w:rPr>
            </w:pPr>
          </w:p>
        </w:tc>
      </w:tr>
    </w:tbl>
    <w:p w14:paraId="602F147F">
      <w:pPr>
        <w:spacing w:before="156" w:beforeLines="50" w:line="400" w:lineRule="exact"/>
        <w:outlineLvl w:val="0"/>
        <w:rPr>
          <w:rFonts w:cs="宋体" w:asciiTheme="minorEastAsia" w:hAnsiTheme="minorEastAsia"/>
          <w:b/>
          <w:kern w:val="0"/>
          <w:sz w:val="24"/>
        </w:rPr>
      </w:pPr>
      <w:bookmarkStart w:id="92" w:name="_Toc211511471"/>
      <w:r>
        <w:rPr>
          <w:rFonts w:hint="eastAsia" w:cs="宋体" w:asciiTheme="minorEastAsia" w:hAnsiTheme="minorEastAsia"/>
          <w:b/>
          <w:kern w:val="0"/>
          <w:sz w:val="24"/>
        </w:rPr>
        <w:t>B-3  委托人提供的资料</w:t>
      </w:r>
      <w:bookmarkEnd w:id="92"/>
    </w:p>
    <w:tbl>
      <w:tblPr>
        <w:tblStyle w:val="24"/>
        <w:tblW w:w="96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30"/>
        <w:gridCol w:w="927"/>
        <w:gridCol w:w="2848"/>
        <w:gridCol w:w="927"/>
      </w:tblGrid>
      <w:tr w14:paraId="29752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4930" w:type="dxa"/>
            <w:vAlign w:val="center"/>
          </w:tcPr>
          <w:p w14:paraId="093234F7">
            <w:pPr>
              <w:snapToGrid w:val="0"/>
              <w:spacing w:line="240" w:lineRule="auto"/>
              <w:ind w:left="0" w:leftChars="0" w:right="0" w:rightChars="0" w:firstLine="0" w:firstLineChars="0"/>
              <w:jc w:val="center"/>
              <w:rPr>
                <w:rFonts w:cs="宋体" w:asciiTheme="minorEastAsia" w:hAnsiTheme="minorEastAsia"/>
                <w:b/>
                <w:kern w:val="0"/>
                <w:sz w:val="24"/>
              </w:rPr>
            </w:pPr>
            <w:r>
              <w:rPr>
                <w:rFonts w:hint="eastAsia" w:cs="宋体" w:asciiTheme="minorEastAsia" w:hAnsiTheme="minorEastAsia"/>
                <w:b/>
                <w:kern w:val="0"/>
                <w:sz w:val="24"/>
              </w:rPr>
              <w:t>名称</w:t>
            </w:r>
          </w:p>
        </w:tc>
        <w:tc>
          <w:tcPr>
            <w:tcW w:w="927" w:type="dxa"/>
            <w:vAlign w:val="center"/>
          </w:tcPr>
          <w:p w14:paraId="66269FA0">
            <w:pPr>
              <w:snapToGrid w:val="0"/>
              <w:spacing w:line="240" w:lineRule="auto"/>
              <w:ind w:left="0" w:leftChars="0" w:right="0" w:rightChars="0" w:firstLine="0" w:firstLineChars="0"/>
              <w:jc w:val="center"/>
              <w:rPr>
                <w:rFonts w:cs="宋体" w:asciiTheme="minorEastAsia" w:hAnsiTheme="minorEastAsia"/>
                <w:b/>
                <w:kern w:val="0"/>
                <w:sz w:val="24"/>
              </w:rPr>
            </w:pPr>
            <w:r>
              <w:rPr>
                <w:rFonts w:hint="eastAsia" w:cs="宋体" w:asciiTheme="minorEastAsia" w:hAnsiTheme="minorEastAsia"/>
                <w:b/>
                <w:kern w:val="0"/>
                <w:sz w:val="24"/>
              </w:rPr>
              <w:t>份数</w:t>
            </w:r>
          </w:p>
        </w:tc>
        <w:tc>
          <w:tcPr>
            <w:tcW w:w="2848" w:type="dxa"/>
            <w:vAlign w:val="center"/>
          </w:tcPr>
          <w:p w14:paraId="72C6AA4B">
            <w:pPr>
              <w:snapToGrid w:val="0"/>
              <w:spacing w:line="240" w:lineRule="auto"/>
              <w:ind w:left="0" w:leftChars="0" w:right="0" w:rightChars="0" w:firstLine="0" w:firstLineChars="0"/>
              <w:jc w:val="center"/>
              <w:rPr>
                <w:rFonts w:cs="宋体" w:asciiTheme="minorEastAsia" w:hAnsiTheme="minorEastAsia"/>
                <w:b/>
                <w:kern w:val="0"/>
                <w:sz w:val="24"/>
              </w:rPr>
            </w:pPr>
            <w:r>
              <w:rPr>
                <w:rFonts w:hint="eastAsia" w:cs="宋体" w:asciiTheme="minorEastAsia" w:hAnsiTheme="minorEastAsia"/>
                <w:b/>
                <w:kern w:val="0"/>
                <w:sz w:val="24"/>
              </w:rPr>
              <w:t>提供时间</w:t>
            </w:r>
          </w:p>
        </w:tc>
        <w:tc>
          <w:tcPr>
            <w:tcW w:w="927" w:type="dxa"/>
            <w:vAlign w:val="center"/>
          </w:tcPr>
          <w:p w14:paraId="4A7FF209">
            <w:pPr>
              <w:snapToGrid w:val="0"/>
              <w:spacing w:line="240" w:lineRule="auto"/>
              <w:ind w:left="0" w:leftChars="0" w:right="0" w:rightChars="0" w:firstLine="0" w:firstLineChars="0"/>
              <w:jc w:val="center"/>
              <w:rPr>
                <w:rFonts w:cs="宋体" w:asciiTheme="minorEastAsia" w:hAnsiTheme="minorEastAsia"/>
                <w:b/>
                <w:kern w:val="0"/>
                <w:sz w:val="24"/>
              </w:rPr>
            </w:pPr>
            <w:r>
              <w:rPr>
                <w:rFonts w:hint="eastAsia" w:cs="宋体" w:asciiTheme="minorEastAsia" w:hAnsiTheme="minorEastAsia"/>
                <w:b/>
                <w:kern w:val="0"/>
                <w:sz w:val="24"/>
              </w:rPr>
              <w:t>备注</w:t>
            </w:r>
          </w:p>
        </w:tc>
      </w:tr>
      <w:tr w14:paraId="3D1D0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0" w:type="dxa"/>
            <w:vAlign w:val="center"/>
          </w:tcPr>
          <w:p w14:paraId="0E7CFABE">
            <w:pPr>
              <w:snapToGrid w:val="0"/>
              <w:spacing w:line="240" w:lineRule="auto"/>
              <w:ind w:left="0" w:leftChars="0" w:right="0" w:rightChars="0" w:firstLine="0" w:firstLineChars="0"/>
              <w:jc w:val="left"/>
              <w:rPr>
                <w:rFonts w:cs="宋体" w:asciiTheme="minorEastAsia" w:hAnsiTheme="minorEastAsia"/>
                <w:kern w:val="0"/>
                <w:sz w:val="24"/>
              </w:rPr>
            </w:pPr>
            <w:r>
              <w:rPr>
                <w:rFonts w:hint="eastAsia" w:cs="宋体" w:asciiTheme="minorEastAsia" w:hAnsiTheme="minorEastAsia"/>
                <w:kern w:val="0"/>
                <w:sz w:val="24"/>
              </w:rPr>
              <w:t>1. 工程立项文件</w:t>
            </w:r>
          </w:p>
        </w:tc>
        <w:tc>
          <w:tcPr>
            <w:tcW w:w="927" w:type="dxa"/>
            <w:vAlign w:val="center"/>
          </w:tcPr>
          <w:p w14:paraId="6BABFC8C">
            <w:pPr>
              <w:snapToGrid w:val="0"/>
              <w:spacing w:line="240" w:lineRule="auto"/>
              <w:ind w:left="0" w:leftChars="0" w:right="0" w:rightChars="0" w:firstLine="0" w:firstLineChars="0"/>
              <w:jc w:val="center"/>
              <w:rPr>
                <w:rFonts w:cs="宋体" w:asciiTheme="minorEastAsia" w:hAnsiTheme="minorEastAsia"/>
                <w:kern w:val="0"/>
                <w:sz w:val="24"/>
              </w:rPr>
            </w:pPr>
            <w:r>
              <w:rPr>
                <w:rFonts w:hint="eastAsia" w:cs="宋体" w:asciiTheme="minorEastAsia" w:hAnsiTheme="minorEastAsia"/>
                <w:kern w:val="0"/>
                <w:sz w:val="24"/>
              </w:rPr>
              <w:t>1份</w:t>
            </w:r>
          </w:p>
        </w:tc>
        <w:tc>
          <w:tcPr>
            <w:tcW w:w="2848" w:type="dxa"/>
            <w:vAlign w:val="center"/>
          </w:tcPr>
          <w:p w14:paraId="40048989">
            <w:pPr>
              <w:snapToGrid w:val="0"/>
              <w:spacing w:line="240" w:lineRule="auto"/>
              <w:ind w:left="0" w:leftChars="0" w:right="0" w:rightChars="0" w:firstLine="0" w:firstLineChars="0"/>
              <w:jc w:val="center"/>
              <w:rPr>
                <w:rFonts w:cs="宋体" w:asciiTheme="minorEastAsia" w:hAnsiTheme="minorEastAsia"/>
                <w:kern w:val="0"/>
                <w:sz w:val="24"/>
              </w:rPr>
            </w:pPr>
            <w:r>
              <w:rPr>
                <w:rFonts w:hint="eastAsia" w:cs="宋体" w:asciiTheme="minorEastAsia" w:hAnsiTheme="minorEastAsia"/>
                <w:kern w:val="0"/>
                <w:sz w:val="24"/>
              </w:rPr>
              <w:t>合同签订后7天内</w:t>
            </w:r>
          </w:p>
        </w:tc>
        <w:tc>
          <w:tcPr>
            <w:tcW w:w="927" w:type="dxa"/>
            <w:vAlign w:val="center"/>
          </w:tcPr>
          <w:p w14:paraId="091D1E38">
            <w:pPr>
              <w:snapToGrid w:val="0"/>
              <w:spacing w:line="240" w:lineRule="auto"/>
              <w:ind w:left="0" w:leftChars="0" w:right="0" w:rightChars="0" w:firstLine="0" w:firstLineChars="0"/>
              <w:jc w:val="center"/>
              <w:rPr>
                <w:rFonts w:cs="宋体" w:asciiTheme="minorEastAsia" w:hAnsiTheme="minorEastAsia"/>
                <w:kern w:val="0"/>
                <w:sz w:val="24"/>
              </w:rPr>
            </w:pPr>
          </w:p>
        </w:tc>
      </w:tr>
      <w:tr w14:paraId="45055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0" w:type="dxa"/>
            <w:vAlign w:val="center"/>
          </w:tcPr>
          <w:p w14:paraId="1ECEB59B">
            <w:pPr>
              <w:snapToGrid w:val="0"/>
              <w:spacing w:line="240" w:lineRule="auto"/>
              <w:ind w:left="0" w:leftChars="0" w:right="0" w:rightChars="0" w:firstLine="0" w:firstLineChars="0"/>
              <w:jc w:val="left"/>
              <w:rPr>
                <w:rFonts w:cs="宋体" w:asciiTheme="minorEastAsia" w:hAnsiTheme="minorEastAsia"/>
                <w:kern w:val="0"/>
                <w:sz w:val="24"/>
              </w:rPr>
            </w:pPr>
            <w:r>
              <w:rPr>
                <w:rFonts w:hint="eastAsia" w:cs="宋体" w:asciiTheme="minorEastAsia" w:hAnsiTheme="minorEastAsia"/>
                <w:kern w:val="0"/>
                <w:sz w:val="24"/>
              </w:rPr>
              <w:t>2. 工程勘察文件</w:t>
            </w:r>
          </w:p>
        </w:tc>
        <w:tc>
          <w:tcPr>
            <w:tcW w:w="927" w:type="dxa"/>
            <w:vAlign w:val="center"/>
          </w:tcPr>
          <w:p w14:paraId="7B19C5EF">
            <w:pPr>
              <w:snapToGrid w:val="0"/>
              <w:spacing w:line="240" w:lineRule="auto"/>
              <w:ind w:left="0" w:leftChars="0" w:right="0" w:rightChars="0" w:firstLine="0" w:firstLineChars="0"/>
              <w:jc w:val="center"/>
              <w:rPr>
                <w:rFonts w:cs="宋体" w:asciiTheme="minorEastAsia" w:hAnsiTheme="minorEastAsia"/>
                <w:kern w:val="0"/>
                <w:sz w:val="24"/>
              </w:rPr>
            </w:pPr>
            <w:r>
              <w:rPr>
                <w:rFonts w:hint="eastAsia" w:cs="宋体" w:asciiTheme="minorEastAsia" w:hAnsiTheme="minorEastAsia"/>
                <w:kern w:val="0"/>
                <w:sz w:val="24"/>
              </w:rPr>
              <w:t>1份</w:t>
            </w:r>
          </w:p>
        </w:tc>
        <w:tc>
          <w:tcPr>
            <w:tcW w:w="2848" w:type="dxa"/>
            <w:vAlign w:val="center"/>
          </w:tcPr>
          <w:p w14:paraId="26CB5EBB">
            <w:pPr>
              <w:snapToGrid w:val="0"/>
              <w:spacing w:line="240" w:lineRule="auto"/>
              <w:ind w:left="0" w:leftChars="0" w:right="0" w:rightChars="0" w:firstLine="0" w:firstLineChars="0"/>
              <w:jc w:val="center"/>
              <w:rPr>
                <w:rFonts w:cs="宋体" w:asciiTheme="minorEastAsia" w:hAnsiTheme="minorEastAsia"/>
                <w:sz w:val="24"/>
              </w:rPr>
            </w:pPr>
            <w:r>
              <w:rPr>
                <w:rFonts w:hint="eastAsia" w:cs="宋体" w:asciiTheme="minorEastAsia" w:hAnsiTheme="minorEastAsia"/>
                <w:kern w:val="0"/>
                <w:sz w:val="24"/>
              </w:rPr>
              <w:t>合同签订后7天内</w:t>
            </w:r>
          </w:p>
        </w:tc>
        <w:tc>
          <w:tcPr>
            <w:tcW w:w="927" w:type="dxa"/>
            <w:vAlign w:val="center"/>
          </w:tcPr>
          <w:p w14:paraId="62FDFDFA">
            <w:pPr>
              <w:snapToGrid w:val="0"/>
              <w:spacing w:line="240" w:lineRule="auto"/>
              <w:ind w:left="0" w:leftChars="0" w:right="0" w:rightChars="0" w:firstLine="0" w:firstLineChars="0"/>
              <w:jc w:val="center"/>
              <w:rPr>
                <w:rFonts w:cs="宋体" w:asciiTheme="minorEastAsia" w:hAnsiTheme="minorEastAsia"/>
                <w:kern w:val="0"/>
                <w:sz w:val="24"/>
              </w:rPr>
            </w:pPr>
          </w:p>
        </w:tc>
      </w:tr>
      <w:tr w14:paraId="02C54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0" w:type="dxa"/>
            <w:vAlign w:val="center"/>
          </w:tcPr>
          <w:p w14:paraId="79A93EB4">
            <w:pPr>
              <w:snapToGrid w:val="0"/>
              <w:spacing w:line="240" w:lineRule="auto"/>
              <w:ind w:left="0" w:leftChars="0" w:right="0" w:rightChars="0" w:firstLine="0" w:firstLineChars="0"/>
              <w:jc w:val="left"/>
              <w:rPr>
                <w:rFonts w:cs="宋体" w:asciiTheme="minorEastAsia" w:hAnsiTheme="minorEastAsia"/>
                <w:kern w:val="0"/>
                <w:sz w:val="24"/>
              </w:rPr>
            </w:pPr>
            <w:r>
              <w:rPr>
                <w:rFonts w:hint="eastAsia" w:cs="宋体" w:asciiTheme="minorEastAsia" w:hAnsiTheme="minorEastAsia"/>
                <w:kern w:val="0"/>
                <w:sz w:val="24"/>
              </w:rPr>
              <w:t>3. 工程设计及施工图纸</w:t>
            </w:r>
          </w:p>
        </w:tc>
        <w:tc>
          <w:tcPr>
            <w:tcW w:w="927" w:type="dxa"/>
            <w:vAlign w:val="center"/>
          </w:tcPr>
          <w:p w14:paraId="6CD77361">
            <w:pPr>
              <w:snapToGrid w:val="0"/>
              <w:spacing w:line="240" w:lineRule="auto"/>
              <w:ind w:left="0" w:leftChars="0" w:right="0" w:rightChars="0" w:firstLine="0" w:firstLineChars="0"/>
              <w:jc w:val="center"/>
              <w:rPr>
                <w:rFonts w:cs="宋体" w:asciiTheme="minorEastAsia" w:hAnsiTheme="minorEastAsia"/>
                <w:kern w:val="0"/>
                <w:sz w:val="24"/>
              </w:rPr>
            </w:pPr>
            <w:r>
              <w:rPr>
                <w:rFonts w:hint="eastAsia" w:cs="宋体" w:asciiTheme="minorEastAsia" w:hAnsiTheme="minorEastAsia"/>
                <w:kern w:val="0"/>
                <w:sz w:val="24"/>
              </w:rPr>
              <w:t>1套</w:t>
            </w:r>
          </w:p>
        </w:tc>
        <w:tc>
          <w:tcPr>
            <w:tcW w:w="2848" w:type="dxa"/>
            <w:vAlign w:val="center"/>
          </w:tcPr>
          <w:p w14:paraId="207230F9">
            <w:pPr>
              <w:snapToGrid w:val="0"/>
              <w:spacing w:line="240" w:lineRule="auto"/>
              <w:ind w:left="0" w:leftChars="0" w:right="0" w:rightChars="0" w:firstLine="0" w:firstLineChars="0"/>
              <w:jc w:val="center"/>
              <w:rPr>
                <w:rFonts w:cs="宋体" w:asciiTheme="minorEastAsia" w:hAnsiTheme="minorEastAsia"/>
                <w:sz w:val="24"/>
              </w:rPr>
            </w:pPr>
            <w:r>
              <w:rPr>
                <w:rFonts w:hint="eastAsia" w:cs="宋体" w:asciiTheme="minorEastAsia" w:hAnsiTheme="minorEastAsia"/>
                <w:kern w:val="0"/>
                <w:sz w:val="24"/>
              </w:rPr>
              <w:t>合同签订后7天内</w:t>
            </w:r>
          </w:p>
        </w:tc>
        <w:tc>
          <w:tcPr>
            <w:tcW w:w="927" w:type="dxa"/>
            <w:vAlign w:val="center"/>
          </w:tcPr>
          <w:p w14:paraId="57CD871D">
            <w:pPr>
              <w:snapToGrid w:val="0"/>
              <w:spacing w:line="240" w:lineRule="auto"/>
              <w:ind w:left="0" w:leftChars="0" w:right="0" w:rightChars="0" w:firstLine="0" w:firstLineChars="0"/>
              <w:jc w:val="center"/>
              <w:rPr>
                <w:rFonts w:cs="宋体" w:asciiTheme="minorEastAsia" w:hAnsiTheme="minorEastAsia"/>
                <w:kern w:val="0"/>
                <w:sz w:val="24"/>
              </w:rPr>
            </w:pPr>
          </w:p>
        </w:tc>
      </w:tr>
      <w:tr w14:paraId="2F71A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0" w:type="dxa"/>
            <w:vAlign w:val="center"/>
          </w:tcPr>
          <w:p w14:paraId="6576EA89">
            <w:pPr>
              <w:snapToGrid w:val="0"/>
              <w:spacing w:line="240" w:lineRule="auto"/>
              <w:ind w:left="0" w:leftChars="0" w:right="0" w:rightChars="0" w:firstLine="0" w:firstLineChars="0"/>
              <w:jc w:val="left"/>
              <w:rPr>
                <w:rFonts w:cs="宋体" w:asciiTheme="minorEastAsia" w:hAnsiTheme="minorEastAsia"/>
                <w:kern w:val="0"/>
                <w:sz w:val="24"/>
              </w:rPr>
            </w:pPr>
            <w:r>
              <w:rPr>
                <w:rFonts w:hint="eastAsia" w:cs="宋体" w:asciiTheme="minorEastAsia" w:hAnsiTheme="minorEastAsia"/>
                <w:kern w:val="0"/>
                <w:sz w:val="24"/>
              </w:rPr>
              <w:t>4. 工程承包合同及其他相关合同</w:t>
            </w:r>
          </w:p>
        </w:tc>
        <w:tc>
          <w:tcPr>
            <w:tcW w:w="927" w:type="dxa"/>
            <w:vAlign w:val="center"/>
          </w:tcPr>
          <w:p w14:paraId="1E106B2E">
            <w:pPr>
              <w:snapToGrid w:val="0"/>
              <w:spacing w:line="240" w:lineRule="auto"/>
              <w:ind w:left="0" w:leftChars="0" w:right="0" w:rightChars="0" w:firstLine="0" w:firstLineChars="0"/>
              <w:jc w:val="center"/>
              <w:rPr>
                <w:rFonts w:cs="宋体" w:asciiTheme="minorEastAsia" w:hAnsiTheme="minorEastAsia"/>
                <w:kern w:val="0"/>
                <w:sz w:val="24"/>
              </w:rPr>
            </w:pPr>
            <w:r>
              <w:rPr>
                <w:rFonts w:hint="eastAsia" w:cs="宋体" w:asciiTheme="minorEastAsia" w:hAnsiTheme="minorEastAsia"/>
                <w:kern w:val="0"/>
                <w:sz w:val="24"/>
              </w:rPr>
              <w:t>1套</w:t>
            </w:r>
          </w:p>
        </w:tc>
        <w:tc>
          <w:tcPr>
            <w:tcW w:w="2848" w:type="dxa"/>
            <w:vAlign w:val="center"/>
          </w:tcPr>
          <w:p w14:paraId="76EC9348">
            <w:pPr>
              <w:snapToGrid w:val="0"/>
              <w:spacing w:line="240" w:lineRule="auto"/>
              <w:ind w:left="0" w:leftChars="0" w:right="0" w:rightChars="0" w:firstLine="0" w:firstLineChars="0"/>
              <w:jc w:val="center"/>
              <w:rPr>
                <w:rFonts w:cs="宋体" w:asciiTheme="minorEastAsia" w:hAnsiTheme="minorEastAsia"/>
                <w:sz w:val="24"/>
              </w:rPr>
            </w:pPr>
            <w:r>
              <w:rPr>
                <w:rFonts w:hint="eastAsia" w:cs="宋体" w:asciiTheme="minorEastAsia" w:hAnsiTheme="minorEastAsia"/>
                <w:kern w:val="0"/>
                <w:sz w:val="24"/>
              </w:rPr>
              <w:t>合同签订后7天内</w:t>
            </w:r>
          </w:p>
        </w:tc>
        <w:tc>
          <w:tcPr>
            <w:tcW w:w="927" w:type="dxa"/>
            <w:vAlign w:val="center"/>
          </w:tcPr>
          <w:p w14:paraId="6CDB2D9C">
            <w:pPr>
              <w:snapToGrid w:val="0"/>
              <w:spacing w:line="240" w:lineRule="auto"/>
              <w:ind w:left="0" w:leftChars="0" w:right="0" w:rightChars="0" w:firstLine="0" w:firstLineChars="0"/>
              <w:jc w:val="center"/>
              <w:rPr>
                <w:rFonts w:cs="宋体" w:asciiTheme="minorEastAsia" w:hAnsiTheme="minorEastAsia"/>
                <w:kern w:val="0"/>
                <w:sz w:val="24"/>
              </w:rPr>
            </w:pPr>
          </w:p>
        </w:tc>
      </w:tr>
      <w:tr w14:paraId="1F1E0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0" w:type="dxa"/>
            <w:vAlign w:val="center"/>
          </w:tcPr>
          <w:p w14:paraId="37456B86">
            <w:pPr>
              <w:snapToGrid w:val="0"/>
              <w:spacing w:line="240" w:lineRule="auto"/>
              <w:ind w:left="0" w:leftChars="0" w:right="0" w:rightChars="0" w:firstLine="0" w:firstLineChars="0"/>
              <w:jc w:val="left"/>
              <w:rPr>
                <w:rFonts w:cs="宋体" w:asciiTheme="minorEastAsia" w:hAnsiTheme="minorEastAsia"/>
                <w:kern w:val="0"/>
                <w:sz w:val="24"/>
              </w:rPr>
            </w:pPr>
            <w:r>
              <w:rPr>
                <w:rFonts w:hint="eastAsia" w:cs="宋体" w:asciiTheme="minorEastAsia" w:hAnsiTheme="minorEastAsia"/>
                <w:kern w:val="0"/>
                <w:sz w:val="24"/>
              </w:rPr>
              <w:t>5. 施工许可文件</w:t>
            </w:r>
          </w:p>
        </w:tc>
        <w:tc>
          <w:tcPr>
            <w:tcW w:w="927" w:type="dxa"/>
            <w:vAlign w:val="center"/>
          </w:tcPr>
          <w:p w14:paraId="7D3AB204">
            <w:pPr>
              <w:snapToGrid w:val="0"/>
              <w:spacing w:line="240" w:lineRule="auto"/>
              <w:ind w:left="0" w:leftChars="0" w:right="0" w:rightChars="0" w:firstLine="0" w:firstLineChars="0"/>
              <w:jc w:val="center"/>
              <w:rPr>
                <w:rFonts w:cs="宋体" w:asciiTheme="minorEastAsia" w:hAnsiTheme="minorEastAsia"/>
                <w:kern w:val="0"/>
                <w:sz w:val="24"/>
              </w:rPr>
            </w:pPr>
            <w:r>
              <w:rPr>
                <w:rFonts w:hint="eastAsia" w:cs="宋体" w:asciiTheme="minorEastAsia" w:hAnsiTheme="minorEastAsia"/>
                <w:kern w:val="0"/>
                <w:sz w:val="24"/>
              </w:rPr>
              <w:t>1份</w:t>
            </w:r>
          </w:p>
        </w:tc>
        <w:tc>
          <w:tcPr>
            <w:tcW w:w="2848" w:type="dxa"/>
            <w:vAlign w:val="center"/>
          </w:tcPr>
          <w:p w14:paraId="4FCC4873">
            <w:pPr>
              <w:snapToGrid w:val="0"/>
              <w:spacing w:line="240" w:lineRule="auto"/>
              <w:ind w:left="0" w:leftChars="0" w:right="0" w:rightChars="0" w:firstLine="0" w:firstLineChars="0"/>
              <w:jc w:val="center"/>
              <w:rPr>
                <w:rFonts w:cs="宋体" w:asciiTheme="minorEastAsia" w:hAnsiTheme="minorEastAsia"/>
                <w:sz w:val="24"/>
              </w:rPr>
            </w:pPr>
            <w:r>
              <w:rPr>
                <w:rFonts w:hint="eastAsia" w:cs="宋体" w:asciiTheme="minorEastAsia" w:hAnsiTheme="minorEastAsia"/>
                <w:kern w:val="0"/>
                <w:sz w:val="24"/>
              </w:rPr>
              <w:t>合同签订后7天内</w:t>
            </w:r>
          </w:p>
        </w:tc>
        <w:tc>
          <w:tcPr>
            <w:tcW w:w="927" w:type="dxa"/>
            <w:vAlign w:val="center"/>
          </w:tcPr>
          <w:p w14:paraId="6B044D80">
            <w:pPr>
              <w:snapToGrid w:val="0"/>
              <w:spacing w:line="240" w:lineRule="auto"/>
              <w:ind w:left="0" w:leftChars="0" w:right="0" w:rightChars="0" w:firstLine="0" w:firstLineChars="0"/>
              <w:jc w:val="center"/>
              <w:rPr>
                <w:rFonts w:cs="宋体" w:asciiTheme="minorEastAsia" w:hAnsiTheme="minorEastAsia"/>
                <w:kern w:val="0"/>
                <w:sz w:val="24"/>
              </w:rPr>
            </w:pPr>
          </w:p>
        </w:tc>
      </w:tr>
      <w:tr w14:paraId="76D43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0" w:type="dxa"/>
            <w:vAlign w:val="center"/>
          </w:tcPr>
          <w:p w14:paraId="5ED844E6">
            <w:pPr>
              <w:snapToGrid w:val="0"/>
              <w:spacing w:line="240" w:lineRule="auto"/>
              <w:ind w:left="0" w:leftChars="0" w:right="0" w:rightChars="0" w:firstLine="0" w:firstLineChars="0"/>
              <w:jc w:val="left"/>
              <w:rPr>
                <w:rFonts w:cs="宋体" w:asciiTheme="minorEastAsia" w:hAnsiTheme="minorEastAsia"/>
                <w:kern w:val="0"/>
                <w:sz w:val="24"/>
              </w:rPr>
            </w:pPr>
            <w:r>
              <w:rPr>
                <w:rFonts w:hint="eastAsia" w:cs="宋体" w:asciiTheme="minorEastAsia" w:hAnsiTheme="minorEastAsia"/>
                <w:kern w:val="0"/>
                <w:sz w:val="24"/>
              </w:rPr>
              <w:t>6. 其他文件</w:t>
            </w:r>
          </w:p>
        </w:tc>
        <w:tc>
          <w:tcPr>
            <w:tcW w:w="927" w:type="dxa"/>
            <w:vAlign w:val="center"/>
          </w:tcPr>
          <w:p w14:paraId="29D80A6A">
            <w:pPr>
              <w:snapToGrid w:val="0"/>
              <w:spacing w:line="240" w:lineRule="auto"/>
              <w:ind w:left="0" w:leftChars="0" w:right="0" w:rightChars="0" w:firstLine="0" w:firstLineChars="0"/>
              <w:jc w:val="center"/>
              <w:rPr>
                <w:rFonts w:cs="宋体" w:asciiTheme="minorEastAsia" w:hAnsiTheme="minorEastAsia"/>
                <w:kern w:val="0"/>
                <w:sz w:val="24"/>
              </w:rPr>
            </w:pPr>
          </w:p>
        </w:tc>
        <w:tc>
          <w:tcPr>
            <w:tcW w:w="2848" w:type="dxa"/>
            <w:vAlign w:val="center"/>
          </w:tcPr>
          <w:p w14:paraId="60145CB2">
            <w:pPr>
              <w:snapToGrid w:val="0"/>
              <w:spacing w:line="240" w:lineRule="auto"/>
              <w:ind w:left="0" w:leftChars="0" w:right="0" w:rightChars="0" w:firstLine="0" w:firstLineChars="0"/>
              <w:jc w:val="center"/>
              <w:rPr>
                <w:rFonts w:cs="宋体" w:asciiTheme="minorEastAsia" w:hAnsiTheme="minorEastAsia"/>
                <w:kern w:val="0"/>
                <w:sz w:val="24"/>
              </w:rPr>
            </w:pPr>
          </w:p>
        </w:tc>
        <w:tc>
          <w:tcPr>
            <w:tcW w:w="927" w:type="dxa"/>
            <w:vAlign w:val="center"/>
          </w:tcPr>
          <w:p w14:paraId="083510DA">
            <w:pPr>
              <w:snapToGrid w:val="0"/>
              <w:spacing w:line="240" w:lineRule="auto"/>
              <w:ind w:left="0" w:leftChars="0" w:right="0" w:rightChars="0" w:firstLine="0" w:firstLineChars="0"/>
              <w:jc w:val="center"/>
              <w:rPr>
                <w:rFonts w:cs="宋体" w:asciiTheme="minorEastAsia" w:hAnsiTheme="minorEastAsia"/>
                <w:kern w:val="0"/>
                <w:sz w:val="24"/>
              </w:rPr>
            </w:pPr>
          </w:p>
        </w:tc>
      </w:tr>
    </w:tbl>
    <w:p w14:paraId="4714B6E1">
      <w:pPr>
        <w:spacing w:before="156" w:beforeLines="50" w:line="400" w:lineRule="exact"/>
        <w:rPr>
          <w:rFonts w:cs="宋体" w:asciiTheme="minorEastAsia" w:hAnsiTheme="minorEastAsia"/>
          <w:b/>
          <w:kern w:val="0"/>
          <w:sz w:val="24"/>
        </w:rPr>
      </w:pPr>
      <w:r>
        <w:rPr>
          <w:rFonts w:hint="eastAsia" w:cs="宋体" w:asciiTheme="minorEastAsia" w:hAnsiTheme="minorEastAsia"/>
          <w:b/>
          <w:kern w:val="0"/>
          <w:sz w:val="24"/>
        </w:rPr>
        <w:t>B-4 委托人提供的设备</w:t>
      </w:r>
    </w:p>
    <w:tbl>
      <w:tblPr>
        <w:tblStyle w:val="24"/>
        <w:tblW w:w="96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20"/>
        <w:gridCol w:w="1208"/>
        <w:gridCol w:w="2461"/>
        <w:gridCol w:w="2043"/>
      </w:tblGrid>
      <w:tr w14:paraId="1563E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3920" w:type="dxa"/>
            <w:vAlign w:val="center"/>
          </w:tcPr>
          <w:p w14:paraId="00B8A265">
            <w:pPr>
              <w:snapToGrid w:val="0"/>
              <w:spacing w:line="240" w:lineRule="auto"/>
              <w:ind w:left="0" w:leftChars="0" w:right="0" w:rightChars="0" w:firstLine="0" w:firstLineChars="0"/>
              <w:jc w:val="center"/>
              <w:rPr>
                <w:rFonts w:cs="宋体" w:asciiTheme="minorEastAsia" w:hAnsiTheme="minorEastAsia"/>
                <w:b/>
                <w:sz w:val="24"/>
              </w:rPr>
            </w:pPr>
            <w:r>
              <w:rPr>
                <w:rFonts w:hint="eastAsia" w:cs="宋体" w:asciiTheme="minorEastAsia" w:hAnsiTheme="minorEastAsia"/>
                <w:b/>
                <w:sz w:val="24"/>
              </w:rPr>
              <w:t>名称</w:t>
            </w:r>
          </w:p>
        </w:tc>
        <w:tc>
          <w:tcPr>
            <w:tcW w:w="1208" w:type="dxa"/>
            <w:vAlign w:val="center"/>
          </w:tcPr>
          <w:p w14:paraId="463AA933">
            <w:pPr>
              <w:snapToGrid w:val="0"/>
              <w:spacing w:line="240" w:lineRule="auto"/>
              <w:ind w:left="0" w:leftChars="0" w:right="0" w:rightChars="0" w:firstLine="0" w:firstLineChars="0"/>
              <w:jc w:val="center"/>
              <w:rPr>
                <w:rFonts w:cs="宋体" w:asciiTheme="minorEastAsia" w:hAnsiTheme="minorEastAsia"/>
                <w:b/>
                <w:sz w:val="24"/>
              </w:rPr>
            </w:pPr>
            <w:r>
              <w:rPr>
                <w:rFonts w:hint="eastAsia" w:cs="宋体" w:asciiTheme="minorEastAsia" w:hAnsiTheme="minorEastAsia"/>
                <w:b/>
                <w:sz w:val="24"/>
              </w:rPr>
              <w:t>数量</w:t>
            </w:r>
          </w:p>
        </w:tc>
        <w:tc>
          <w:tcPr>
            <w:tcW w:w="2461" w:type="dxa"/>
            <w:vAlign w:val="center"/>
          </w:tcPr>
          <w:p w14:paraId="5379DF52">
            <w:pPr>
              <w:snapToGrid w:val="0"/>
              <w:spacing w:line="240" w:lineRule="auto"/>
              <w:ind w:left="0" w:leftChars="0" w:right="0" w:rightChars="0" w:firstLine="0" w:firstLineChars="0"/>
              <w:jc w:val="center"/>
              <w:rPr>
                <w:rFonts w:cs="宋体" w:asciiTheme="minorEastAsia" w:hAnsiTheme="minorEastAsia"/>
                <w:b/>
                <w:sz w:val="24"/>
              </w:rPr>
            </w:pPr>
            <w:r>
              <w:rPr>
                <w:rFonts w:hint="eastAsia" w:cs="宋体" w:asciiTheme="minorEastAsia" w:hAnsiTheme="minorEastAsia"/>
                <w:b/>
                <w:sz w:val="24"/>
              </w:rPr>
              <w:t>型号与规格</w:t>
            </w:r>
          </w:p>
        </w:tc>
        <w:tc>
          <w:tcPr>
            <w:tcW w:w="2043" w:type="dxa"/>
            <w:vAlign w:val="center"/>
          </w:tcPr>
          <w:p w14:paraId="05793146">
            <w:pPr>
              <w:snapToGrid w:val="0"/>
              <w:spacing w:line="240" w:lineRule="auto"/>
              <w:ind w:left="0" w:leftChars="0" w:right="0" w:rightChars="0" w:firstLine="0" w:firstLineChars="0"/>
              <w:jc w:val="center"/>
              <w:rPr>
                <w:rFonts w:cs="宋体" w:asciiTheme="minorEastAsia" w:hAnsiTheme="minorEastAsia"/>
                <w:b/>
                <w:sz w:val="24"/>
              </w:rPr>
            </w:pPr>
            <w:r>
              <w:rPr>
                <w:rFonts w:hint="eastAsia" w:cs="宋体" w:asciiTheme="minorEastAsia" w:hAnsiTheme="minorEastAsia"/>
                <w:b/>
                <w:sz w:val="24"/>
              </w:rPr>
              <w:t>提供时间</w:t>
            </w:r>
          </w:p>
        </w:tc>
      </w:tr>
      <w:tr w14:paraId="47323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920" w:type="dxa"/>
            <w:vAlign w:val="center"/>
          </w:tcPr>
          <w:p w14:paraId="35A67AC2">
            <w:pPr>
              <w:snapToGrid w:val="0"/>
              <w:spacing w:line="240" w:lineRule="auto"/>
              <w:ind w:left="0" w:leftChars="0" w:right="0" w:rightChars="0" w:firstLine="0" w:firstLineChars="0"/>
              <w:jc w:val="left"/>
              <w:rPr>
                <w:rFonts w:cs="宋体" w:asciiTheme="minorEastAsia" w:hAnsiTheme="minorEastAsia"/>
                <w:sz w:val="24"/>
              </w:rPr>
            </w:pPr>
            <w:r>
              <w:rPr>
                <w:rFonts w:hint="eastAsia" w:cs="宋体" w:asciiTheme="minorEastAsia" w:hAnsiTheme="minorEastAsia"/>
                <w:sz w:val="24"/>
              </w:rPr>
              <w:t>1. 通讯设备</w:t>
            </w:r>
          </w:p>
        </w:tc>
        <w:tc>
          <w:tcPr>
            <w:tcW w:w="1208" w:type="dxa"/>
            <w:vAlign w:val="center"/>
          </w:tcPr>
          <w:p w14:paraId="4EC04189">
            <w:pPr>
              <w:snapToGrid w:val="0"/>
              <w:spacing w:line="240" w:lineRule="auto"/>
              <w:ind w:left="0" w:leftChars="0" w:right="0" w:rightChars="0" w:firstLine="0" w:firstLineChars="0"/>
              <w:jc w:val="center"/>
              <w:rPr>
                <w:rFonts w:cs="宋体" w:asciiTheme="minorEastAsia" w:hAnsiTheme="minorEastAsia"/>
                <w:sz w:val="24"/>
              </w:rPr>
            </w:pPr>
          </w:p>
        </w:tc>
        <w:tc>
          <w:tcPr>
            <w:tcW w:w="2461" w:type="dxa"/>
            <w:vAlign w:val="center"/>
          </w:tcPr>
          <w:p w14:paraId="409F1589">
            <w:pPr>
              <w:snapToGrid w:val="0"/>
              <w:spacing w:line="240" w:lineRule="auto"/>
              <w:ind w:left="0" w:leftChars="0" w:right="0" w:rightChars="0" w:firstLine="0" w:firstLineChars="0"/>
              <w:jc w:val="center"/>
              <w:rPr>
                <w:rFonts w:cs="宋体" w:asciiTheme="minorEastAsia" w:hAnsiTheme="minorEastAsia"/>
                <w:sz w:val="24"/>
              </w:rPr>
            </w:pPr>
          </w:p>
        </w:tc>
        <w:tc>
          <w:tcPr>
            <w:tcW w:w="2043" w:type="dxa"/>
            <w:vAlign w:val="center"/>
          </w:tcPr>
          <w:p w14:paraId="320A10C5">
            <w:pPr>
              <w:snapToGrid w:val="0"/>
              <w:spacing w:line="240" w:lineRule="auto"/>
              <w:ind w:left="0" w:leftChars="0" w:right="0" w:rightChars="0" w:firstLine="0" w:firstLineChars="0"/>
              <w:jc w:val="center"/>
              <w:rPr>
                <w:rFonts w:cs="宋体" w:asciiTheme="minorEastAsia" w:hAnsiTheme="minorEastAsia"/>
                <w:sz w:val="24"/>
              </w:rPr>
            </w:pPr>
          </w:p>
        </w:tc>
      </w:tr>
      <w:tr w14:paraId="28905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920" w:type="dxa"/>
            <w:vAlign w:val="center"/>
          </w:tcPr>
          <w:p w14:paraId="6BFDF2B1">
            <w:pPr>
              <w:snapToGrid w:val="0"/>
              <w:spacing w:line="240" w:lineRule="auto"/>
              <w:ind w:left="0" w:leftChars="0" w:right="0" w:rightChars="0" w:firstLine="0" w:firstLineChars="0"/>
              <w:jc w:val="left"/>
              <w:rPr>
                <w:rFonts w:cs="宋体" w:asciiTheme="minorEastAsia" w:hAnsiTheme="minorEastAsia"/>
                <w:sz w:val="24"/>
              </w:rPr>
            </w:pPr>
            <w:r>
              <w:rPr>
                <w:rFonts w:hint="eastAsia" w:cs="宋体" w:asciiTheme="minorEastAsia" w:hAnsiTheme="minorEastAsia"/>
                <w:sz w:val="24"/>
              </w:rPr>
              <w:t>2. 办公设备</w:t>
            </w:r>
          </w:p>
        </w:tc>
        <w:tc>
          <w:tcPr>
            <w:tcW w:w="1208" w:type="dxa"/>
            <w:vAlign w:val="center"/>
          </w:tcPr>
          <w:p w14:paraId="08545EF9">
            <w:pPr>
              <w:snapToGrid w:val="0"/>
              <w:spacing w:line="240" w:lineRule="auto"/>
              <w:ind w:left="0" w:leftChars="0" w:right="0" w:rightChars="0" w:firstLine="0" w:firstLineChars="0"/>
              <w:jc w:val="center"/>
              <w:rPr>
                <w:rFonts w:cs="宋体" w:asciiTheme="minorEastAsia" w:hAnsiTheme="minorEastAsia"/>
                <w:sz w:val="24"/>
              </w:rPr>
            </w:pPr>
          </w:p>
        </w:tc>
        <w:tc>
          <w:tcPr>
            <w:tcW w:w="2461" w:type="dxa"/>
            <w:vAlign w:val="center"/>
          </w:tcPr>
          <w:p w14:paraId="27CC34E0">
            <w:pPr>
              <w:snapToGrid w:val="0"/>
              <w:spacing w:line="240" w:lineRule="auto"/>
              <w:ind w:left="0" w:leftChars="0" w:right="0" w:rightChars="0" w:firstLine="0" w:firstLineChars="0"/>
              <w:jc w:val="center"/>
              <w:rPr>
                <w:rFonts w:cs="宋体" w:asciiTheme="minorEastAsia" w:hAnsiTheme="minorEastAsia"/>
                <w:sz w:val="24"/>
              </w:rPr>
            </w:pPr>
          </w:p>
        </w:tc>
        <w:tc>
          <w:tcPr>
            <w:tcW w:w="2043" w:type="dxa"/>
            <w:vAlign w:val="center"/>
          </w:tcPr>
          <w:p w14:paraId="6015349D">
            <w:pPr>
              <w:snapToGrid w:val="0"/>
              <w:spacing w:line="240" w:lineRule="auto"/>
              <w:ind w:left="0" w:leftChars="0" w:right="0" w:rightChars="0" w:firstLine="0" w:firstLineChars="0"/>
              <w:jc w:val="center"/>
              <w:rPr>
                <w:rFonts w:cs="宋体" w:asciiTheme="minorEastAsia" w:hAnsiTheme="minorEastAsia"/>
                <w:sz w:val="24"/>
              </w:rPr>
            </w:pPr>
          </w:p>
        </w:tc>
      </w:tr>
      <w:tr w14:paraId="2C10F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920" w:type="dxa"/>
            <w:vAlign w:val="center"/>
          </w:tcPr>
          <w:p w14:paraId="436F82DF">
            <w:pPr>
              <w:snapToGrid w:val="0"/>
              <w:spacing w:line="240" w:lineRule="auto"/>
              <w:ind w:left="0" w:leftChars="0" w:right="0" w:rightChars="0" w:firstLine="0" w:firstLineChars="0"/>
              <w:jc w:val="left"/>
              <w:rPr>
                <w:rFonts w:cs="宋体" w:asciiTheme="minorEastAsia" w:hAnsiTheme="minorEastAsia"/>
                <w:sz w:val="24"/>
              </w:rPr>
            </w:pPr>
            <w:r>
              <w:rPr>
                <w:rFonts w:hint="eastAsia" w:cs="宋体" w:asciiTheme="minorEastAsia" w:hAnsiTheme="minorEastAsia"/>
                <w:sz w:val="24"/>
              </w:rPr>
              <w:t>3. 交通工具</w:t>
            </w:r>
          </w:p>
        </w:tc>
        <w:tc>
          <w:tcPr>
            <w:tcW w:w="1208" w:type="dxa"/>
            <w:vAlign w:val="center"/>
          </w:tcPr>
          <w:p w14:paraId="27FC87B2">
            <w:pPr>
              <w:snapToGrid w:val="0"/>
              <w:spacing w:line="240" w:lineRule="auto"/>
              <w:ind w:left="0" w:leftChars="0" w:right="0" w:rightChars="0" w:firstLine="0" w:firstLineChars="0"/>
              <w:jc w:val="center"/>
              <w:rPr>
                <w:rFonts w:cs="宋体" w:asciiTheme="minorEastAsia" w:hAnsiTheme="minorEastAsia"/>
                <w:sz w:val="24"/>
              </w:rPr>
            </w:pPr>
          </w:p>
        </w:tc>
        <w:tc>
          <w:tcPr>
            <w:tcW w:w="2461" w:type="dxa"/>
            <w:vAlign w:val="center"/>
          </w:tcPr>
          <w:p w14:paraId="1DEE739C">
            <w:pPr>
              <w:snapToGrid w:val="0"/>
              <w:spacing w:line="240" w:lineRule="auto"/>
              <w:ind w:left="0" w:leftChars="0" w:right="0" w:rightChars="0" w:firstLine="0" w:firstLineChars="0"/>
              <w:jc w:val="center"/>
              <w:rPr>
                <w:rFonts w:cs="宋体" w:asciiTheme="minorEastAsia" w:hAnsiTheme="minorEastAsia"/>
                <w:sz w:val="24"/>
              </w:rPr>
            </w:pPr>
          </w:p>
        </w:tc>
        <w:tc>
          <w:tcPr>
            <w:tcW w:w="2043" w:type="dxa"/>
            <w:vAlign w:val="center"/>
          </w:tcPr>
          <w:p w14:paraId="5FD5E722">
            <w:pPr>
              <w:snapToGrid w:val="0"/>
              <w:spacing w:line="240" w:lineRule="auto"/>
              <w:ind w:left="0" w:leftChars="0" w:right="0" w:rightChars="0" w:firstLine="0" w:firstLineChars="0"/>
              <w:jc w:val="center"/>
              <w:rPr>
                <w:rFonts w:cs="宋体" w:asciiTheme="minorEastAsia" w:hAnsiTheme="minorEastAsia"/>
                <w:sz w:val="24"/>
              </w:rPr>
            </w:pPr>
          </w:p>
        </w:tc>
      </w:tr>
      <w:tr w14:paraId="597A6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920" w:type="dxa"/>
            <w:vAlign w:val="center"/>
          </w:tcPr>
          <w:p w14:paraId="22E4DA38">
            <w:pPr>
              <w:snapToGrid w:val="0"/>
              <w:spacing w:line="240" w:lineRule="auto"/>
              <w:ind w:left="0" w:leftChars="0" w:right="0" w:rightChars="0" w:firstLine="0" w:firstLineChars="0"/>
              <w:jc w:val="left"/>
              <w:rPr>
                <w:rFonts w:cs="宋体" w:asciiTheme="minorEastAsia" w:hAnsiTheme="minorEastAsia"/>
                <w:sz w:val="24"/>
              </w:rPr>
            </w:pPr>
            <w:r>
              <w:rPr>
                <w:rFonts w:hint="eastAsia" w:cs="宋体" w:asciiTheme="minorEastAsia" w:hAnsiTheme="minorEastAsia"/>
                <w:sz w:val="24"/>
              </w:rPr>
              <w:t>4. 检测和试验设备</w:t>
            </w:r>
          </w:p>
        </w:tc>
        <w:tc>
          <w:tcPr>
            <w:tcW w:w="1208" w:type="dxa"/>
            <w:vAlign w:val="center"/>
          </w:tcPr>
          <w:p w14:paraId="409453C9">
            <w:pPr>
              <w:snapToGrid w:val="0"/>
              <w:spacing w:line="240" w:lineRule="auto"/>
              <w:ind w:left="0" w:leftChars="0" w:right="0" w:rightChars="0" w:firstLine="0" w:firstLineChars="0"/>
              <w:jc w:val="center"/>
              <w:rPr>
                <w:rFonts w:cs="宋体" w:asciiTheme="minorEastAsia" w:hAnsiTheme="minorEastAsia"/>
                <w:sz w:val="24"/>
              </w:rPr>
            </w:pPr>
          </w:p>
        </w:tc>
        <w:tc>
          <w:tcPr>
            <w:tcW w:w="2461" w:type="dxa"/>
            <w:vAlign w:val="center"/>
          </w:tcPr>
          <w:p w14:paraId="155F1DC3">
            <w:pPr>
              <w:snapToGrid w:val="0"/>
              <w:spacing w:line="240" w:lineRule="auto"/>
              <w:ind w:left="0" w:leftChars="0" w:right="0" w:rightChars="0" w:firstLine="0" w:firstLineChars="0"/>
              <w:jc w:val="center"/>
              <w:rPr>
                <w:rFonts w:cs="宋体" w:asciiTheme="minorEastAsia" w:hAnsiTheme="minorEastAsia"/>
                <w:sz w:val="24"/>
              </w:rPr>
            </w:pPr>
          </w:p>
        </w:tc>
        <w:tc>
          <w:tcPr>
            <w:tcW w:w="2043" w:type="dxa"/>
            <w:vAlign w:val="center"/>
          </w:tcPr>
          <w:p w14:paraId="7D059036">
            <w:pPr>
              <w:snapToGrid w:val="0"/>
              <w:spacing w:line="240" w:lineRule="auto"/>
              <w:ind w:left="0" w:leftChars="0" w:right="0" w:rightChars="0" w:firstLine="0" w:firstLineChars="0"/>
              <w:jc w:val="center"/>
              <w:rPr>
                <w:rFonts w:cs="宋体" w:asciiTheme="minorEastAsia" w:hAnsiTheme="minorEastAsia"/>
                <w:sz w:val="24"/>
              </w:rPr>
            </w:pPr>
          </w:p>
        </w:tc>
      </w:tr>
    </w:tbl>
    <w:p w14:paraId="47E7F54B">
      <w:pPr>
        <w:rPr>
          <w:rFonts w:cs="宋体" w:asciiTheme="minorEastAsia" w:hAnsiTheme="minorEastAsia"/>
          <w:sz w:val="24"/>
        </w:rPr>
      </w:pPr>
    </w:p>
    <w:p w14:paraId="28BA26D9">
      <w:pPr>
        <w:rPr>
          <w:rFonts w:cs="宋体" w:asciiTheme="minorEastAsia" w:hAnsiTheme="minorEastAsia"/>
          <w:sz w:val="24"/>
        </w:rPr>
      </w:pPr>
    </w:p>
    <w:p w14:paraId="3BCFC126">
      <w:pPr>
        <w:pStyle w:val="3"/>
        <w:rPr>
          <w:rFonts w:asciiTheme="minorEastAsia" w:hAnsiTheme="minorEastAsia" w:eastAsiaTheme="minorEastAsia"/>
          <w:sz w:val="24"/>
        </w:rPr>
      </w:pPr>
    </w:p>
    <w:p w14:paraId="2C31B5E8">
      <w:pPr>
        <w:spacing w:line="360" w:lineRule="auto"/>
        <w:ind w:firstLine="480" w:firstLineChars="200"/>
        <w:jc w:val="right"/>
        <w:rPr>
          <w:rFonts w:ascii="宋体" w:hAnsi="宋体" w:eastAsia="宋体" w:cs="宋体"/>
          <w:sz w:val="24"/>
        </w:rPr>
      </w:pPr>
    </w:p>
    <w:p w14:paraId="0A1C5CBA">
      <w:pPr>
        <w:spacing w:line="360" w:lineRule="auto"/>
        <w:ind w:firstLine="640" w:firstLineChars="200"/>
        <w:jc w:val="left"/>
        <w:rPr>
          <w:rFonts w:ascii="微软雅黑" w:hAnsi="微软雅黑" w:eastAsia="微软雅黑" w:cs="微软雅黑"/>
          <w:sz w:val="32"/>
          <w:szCs w:val="32"/>
        </w:rPr>
        <w:sectPr>
          <w:pgSz w:w="11906" w:h="16838"/>
          <w:pgMar w:top="1440" w:right="1242" w:bottom="1440" w:left="1242" w:header="851" w:footer="992" w:gutter="0"/>
          <w:cols w:space="425" w:num="1"/>
          <w:docGrid w:type="lines" w:linePitch="312" w:charSpace="0"/>
        </w:sectPr>
      </w:pPr>
    </w:p>
    <w:p w14:paraId="7D1DFE12">
      <w:pPr>
        <w:pStyle w:val="2"/>
        <w:spacing w:line="360" w:lineRule="auto"/>
        <w:jc w:val="center"/>
      </w:pPr>
      <w:bookmarkStart w:id="93" w:name="_Toc211511472"/>
      <w:r>
        <w:rPr>
          <w:rFonts w:hint="eastAsia"/>
        </w:rPr>
        <w:t>第四部分</w:t>
      </w:r>
      <w:r>
        <w:rPr>
          <w:rFonts w:hint="eastAsia"/>
          <w:lang w:val="en-US" w:eastAsia="zh-CN"/>
        </w:rPr>
        <w:t xml:space="preserve"> </w:t>
      </w:r>
      <w:r>
        <w:rPr>
          <w:rFonts w:hint="eastAsia"/>
        </w:rPr>
        <w:t>采购需求</w:t>
      </w:r>
      <w:bookmarkEnd w:id="93"/>
    </w:p>
    <w:p w14:paraId="74F8285C">
      <w:pPr>
        <w:pStyle w:val="53"/>
        <w:numPr>
          <w:ilvl w:val="0"/>
          <w:numId w:val="0"/>
        </w:numPr>
        <w:tabs>
          <w:tab w:val="left" w:pos="420"/>
        </w:tabs>
        <w:spacing w:line="360" w:lineRule="auto"/>
        <w:rPr>
          <w:rFonts w:hint="eastAsia" w:ascii="宋体" w:hAnsi="宋体" w:eastAsia="宋体" w:cs="宋体"/>
          <w:sz w:val="24"/>
          <w:szCs w:val="24"/>
          <w:lang w:val="zh-CN"/>
        </w:rPr>
      </w:pPr>
      <w:bookmarkStart w:id="94" w:name="_Toc17931"/>
      <w:bookmarkStart w:id="95" w:name="_Toc20831"/>
      <w:bookmarkStart w:id="96" w:name="_Toc9326"/>
      <w:bookmarkStart w:id="97" w:name="_Toc22807"/>
      <w:bookmarkStart w:id="98" w:name="_Toc17972"/>
      <w:bookmarkStart w:id="99" w:name="_Toc20631"/>
      <w:bookmarkStart w:id="100" w:name="_Toc9966"/>
      <w:bookmarkStart w:id="101" w:name="_Toc23953_WPSOffice_Level2"/>
      <w:bookmarkStart w:id="102" w:name="_Toc16552"/>
      <w:bookmarkStart w:id="103" w:name="_Toc18696"/>
      <w:bookmarkStart w:id="104" w:name="_Toc211511473"/>
      <w:bookmarkStart w:id="105" w:name="_Toc25393"/>
      <w:bookmarkStart w:id="106" w:name="_Toc23959"/>
      <w:bookmarkStart w:id="107" w:name="_Toc12689"/>
      <w:r>
        <w:rPr>
          <w:rFonts w:hint="eastAsia" w:ascii="宋体" w:hAnsi="宋体" w:eastAsia="宋体" w:cs="宋体"/>
          <w:sz w:val="24"/>
          <w:szCs w:val="24"/>
          <w:lang w:val="zh-CN"/>
        </w:rPr>
        <w:t>一、项目概况</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14:paraId="6A97F694">
      <w:pPr>
        <w:spacing w:line="360" w:lineRule="auto"/>
        <w:ind w:firstLine="480" w:firstLineChars="200"/>
        <w:jc w:val="left"/>
        <w:rPr>
          <w:rFonts w:hint="eastAsia" w:ascii="宋体" w:hAnsi="宋体" w:eastAsia="宋体" w:cs="宋体"/>
          <w:sz w:val="24"/>
          <w:szCs w:val="24"/>
          <w:lang w:val="zh-CN"/>
        </w:rPr>
      </w:pPr>
      <w:r>
        <w:rPr>
          <w:rFonts w:hint="eastAsia" w:ascii="宋体" w:hAnsi="宋体" w:eastAsia="宋体" w:cs="宋体"/>
          <w:sz w:val="24"/>
          <w:lang w:val="zh-CN" w:eastAsia="zh-CN"/>
        </w:rPr>
        <w:t>丹徒区站岗沟行洪通道建设项目工程监理项目</w:t>
      </w:r>
      <w:r>
        <w:rPr>
          <w:rFonts w:hint="eastAsia" w:ascii="宋体" w:hAnsi="宋体" w:eastAsia="宋体" w:cs="宋体"/>
          <w:sz w:val="24"/>
          <w:lang w:val="zh-CN"/>
        </w:rPr>
        <w:t>：新建 D2400 雨水管道，西起扬溧高速穿过光明南郡，东至天王山路，扩建明渠约 250 平方米，将循环水补给至站岗沟上游国良桥附近，对站岗沟进行活水循环。</w:t>
      </w:r>
      <w:bookmarkStart w:id="108" w:name="_Toc28185"/>
      <w:bookmarkStart w:id="109" w:name="_Toc7528"/>
      <w:bookmarkStart w:id="110" w:name="_Toc28621"/>
      <w:bookmarkStart w:id="111" w:name="_Toc26342_WPSOffice_Level2"/>
      <w:bookmarkStart w:id="112" w:name="_Toc32414"/>
      <w:bookmarkStart w:id="113" w:name="_Toc3484"/>
      <w:bookmarkStart w:id="114" w:name="_Toc2230"/>
      <w:bookmarkStart w:id="115" w:name="_Toc26826"/>
      <w:bookmarkStart w:id="116" w:name="_Toc13305"/>
      <w:bookmarkStart w:id="117" w:name="_Toc5366"/>
      <w:bookmarkStart w:id="118" w:name="_Toc211511474"/>
    </w:p>
    <w:p w14:paraId="4E946139">
      <w:pPr>
        <w:pStyle w:val="53"/>
        <w:numPr>
          <w:ilvl w:val="0"/>
          <w:numId w:val="0"/>
        </w:numPr>
        <w:tabs>
          <w:tab w:val="left" w:pos="420"/>
        </w:tabs>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二、</w:t>
      </w:r>
      <w:bookmarkEnd w:id="108"/>
      <w:bookmarkEnd w:id="109"/>
      <w:bookmarkEnd w:id="110"/>
      <w:bookmarkEnd w:id="111"/>
      <w:bookmarkEnd w:id="112"/>
      <w:bookmarkEnd w:id="113"/>
      <w:bookmarkEnd w:id="114"/>
      <w:bookmarkEnd w:id="115"/>
      <w:bookmarkEnd w:id="116"/>
      <w:bookmarkEnd w:id="117"/>
      <w:r>
        <w:rPr>
          <w:rFonts w:hint="eastAsia" w:ascii="宋体" w:hAnsi="宋体" w:eastAsia="宋体" w:cs="宋体"/>
          <w:sz w:val="24"/>
          <w:szCs w:val="24"/>
          <w:lang w:val="zh-CN"/>
        </w:rPr>
        <w:t>监理项目清单</w:t>
      </w:r>
      <w:bookmarkEnd w:id="118"/>
    </w:p>
    <w:tbl>
      <w:tblPr>
        <w:tblStyle w:val="24"/>
        <w:tblW w:w="9276" w:type="dxa"/>
        <w:jc w:val="center"/>
        <w:tblLayout w:type="autofit"/>
        <w:tblCellMar>
          <w:top w:w="0" w:type="dxa"/>
          <w:left w:w="108" w:type="dxa"/>
          <w:bottom w:w="0" w:type="dxa"/>
          <w:right w:w="108" w:type="dxa"/>
        </w:tblCellMar>
      </w:tblPr>
      <w:tblGrid>
        <w:gridCol w:w="670"/>
        <w:gridCol w:w="6291"/>
        <w:gridCol w:w="2315"/>
      </w:tblGrid>
      <w:tr w14:paraId="4FD2EAF4">
        <w:tblPrEx>
          <w:tblCellMar>
            <w:top w:w="0" w:type="dxa"/>
            <w:left w:w="108" w:type="dxa"/>
            <w:bottom w:w="0" w:type="dxa"/>
            <w:right w:w="108" w:type="dxa"/>
          </w:tblCellMar>
        </w:tblPrEx>
        <w:trPr>
          <w:trHeight w:val="527" w:hRule="atLeast"/>
          <w:jc w:val="center"/>
        </w:trPr>
        <w:tc>
          <w:tcPr>
            <w:tcW w:w="670" w:type="dxa"/>
            <w:tcBorders>
              <w:top w:val="single" w:color="auto" w:sz="4" w:space="0"/>
              <w:left w:val="single" w:color="auto" w:sz="4" w:space="0"/>
              <w:bottom w:val="single" w:color="auto" w:sz="4" w:space="0"/>
              <w:right w:val="single" w:color="auto" w:sz="4" w:space="0"/>
            </w:tcBorders>
            <w:noWrap/>
            <w:vAlign w:val="center"/>
          </w:tcPr>
          <w:p w14:paraId="3A105E39">
            <w:pPr>
              <w:widowControl/>
              <w:jc w:val="center"/>
              <w:rPr>
                <w:rFonts w:hint="eastAsia" w:ascii="宋体" w:hAnsi="宋体" w:eastAsia="宋体" w:cs="宋体"/>
                <w:kern w:val="0"/>
                <w:sz w:val="24"/>
                <w:szCs w:val="24"/>
              </w:rPr>
            </w:pPr>
            <w:r>
              <w:rPr>
                <w:rFonts w:hint="eastAsia" w:ascii="宋体" w:hAnsi="宋体" w:eastAsia="宋体" w:cs="宋体"/>
                <w:kern w:val="0"/>
                <w:sz w:val="24"/>
                <w:szCs w:val="24"/>
              </w:rPr>
              <w:t>序号</w:t>
            </w:r>
          </w:p>
        </w:tc>
        <w:tc>
          <w:tcPr>
            <w:tcW w:w="6291" w:type="dxa"/>
            <w:tcBorders>
              <w:top w:val="single" w:color="auto" w:sz="4" w:space="0"/>
              <w:left w:val="nil"/>
              <w:bottom w:val="single" w:color="auto" w:sz="4" w:space="0"/>
              <w:right w:val="single" w:color="auto" w:sz="4" w:space="0"/>
            </w:tcBorders>
            <w:noWrap/>
            <w:vAlign w:val="center"/>
          </w:tcPr>
          <w:p w14:paraId="20FB914B">
            <w:pPr>
              <w:widowControl/>
              <w:jc w:val="center"/>
              <w:rPr>
                <w:rFonts w:hint="eastAsia" w:ascii="宋体" w:hAnsi="宋体" w:eastAsia="宋体" w:cs="宋体"/>
                <w:kern w:val="0"/>
                <w:sz w:val="24"/>
                <w:szCs w:val="24"/>
              </w:rPr>
            </w:pPr>
            <w:r>
              <w:rPr>
                <w:rFonts w:hint="eastAsia" w:ascii="宋体" w:hAnsi="宋体" w:eastAsia="宋体" w:cs="宋体"/>
                <w:kern w:val="0"/>
                <w:sz w:val="24"/>
                <w:szCs w:val="24"/>
              </w:rPr>
              <w:t>工程名称</w:t>
            </w:r>
          </w:p>
        </w:tc>
        <w:tc>
          <w:tcPr>
            <w:tcW w:w="2315" w:type="dxa"/>
            <w:tcBorders>
              <w:top w:val="single" w:color="auto" w:sz="4" w:space="0"/>
              <w:left w:val="nil"/>
              <w:bottom w:val="single" w:color="auto" w:sz="4" w:space="0"/>
              <w:right w:val="single" w:color="auto" w:sz="4" w:space="0"/>
            </w:tcBorders>
            <w:noWrap/>
            <w:vAlign w:val="center"/>
          </w:tcPr>
          <w:p w14:paraId="6E01A2E4">
            <w:pPr>
              <w:widowControl/>
              <w:jc w:val="center"/>
              <w:rPr>
                <w:rFonts w:hint="eastAsia" w:ascii="宋体" w:hAnsi="宋体" w:eastAsia="宋体" w:cs="宋体"/>
                <w:kern w:val="0"/>
                <w:sz w:val="24"/>
                <w:szCs w:val="24"/>
              </w:rPr>
            </w:pPr>
            <w:r>
              <w:rPr>
                <w:rFonts w:hint="eastAsia" w:ascii="宋体" w:hAnsi="宋体" w:eastAsia="宋体" w:cs="宋体"/>
                <w:kern w:val="0"/>
                <w:sz w:val="24"/>
                <w:szCs w:val="24"/>
              </w:rPr>
              <w:t>概算中工程估算价（万元）</w:t>
            </w:r>
          </w:p>
        </w:tc>
      </w:tr>
      <w:tr w14:paraId="18492E06">
        <w:tblPrEx>
          <w:tblCellMar>
            <w:top w:w="0" w:type="dxa"/>
            <w:left w:w="108" w:type="dxa"/>
            <w:bottom w:w="0" w:type="dxa"/>
            <w:right w:w="108" w:type="dxa"/>
          </w:tblCellMar>
        </w:tblPrEx>
        <w:trPr>
          <w:trHeight w:val="527" w:hRule="atLeast"/>
          <w:jc w:val="center"/>
        </w:trPr>
        <w:tc>
          <w:tcPr>
            <w:tcW w:w="670" w:type="dxa"/>
            <w:tcBorders>
              <w:top w:val="nil"/>
              <w:left w:val="single" w:color="auto" w:sz="4" w:space="0"/>
              <w:bottom w:val="single" w:color="auto" w:sz="4" w:space="0"/>
              <w:right w:val="single" w:color="auto" w:sz="4" w:space="0"/>
            </w:tcBorders>
            <w:noWrap/>
            <w:vAlign w:val="center"/>
          </w:tcPr>
          <w:p w14:paraId="698C82A8">
            <w:pPr>
              <w:widowControl/>
              <w:jc w:val="center"/>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6291" w:type="dxa"/>
            <w:tcBorders>
              <w:top w:val="nil"/>
              <w:left w:val="nil"/>
              <w:bottom w:val="single" w:color="auto" w:sz="4" w:space="0"/>
              <w:right w:val="single" w:color="auto" w:sz="4" w:space="0"/>
            </w:tcBorders>
            <w:noWrap/>
            <w:vAlign w:val="center"/>
          </w:tcPr>
          <w:p w14:paraId="4E7D5613">
            <w:pPr>
              <w:widowControl/>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sz w:val="24"/>
                <w:szCs w:val="24"/>
                <w:lang w:eastAsia="zh-CN"/>
              </w:rPr>
              <w:t>丹徒区站岗沟行洪通道建设项目工程监理项目</w:t>
            </w:r>
            <w:r>
              <w:rPr>
                <w:rFonts w:hint="eastAsia" w:ascii="宋体" w:hAnsi="宋体" w:eastAsia="宋体" w:cs="宋体"/>
                <w:sz w:val="24"/>
                <w:szCs w:val="24"/>
                <w:lang w:val="zh-CN"/>
              </w:rPr>
              <w:t>。</w:t>
            </w:r>
          </w:p>
        </w:tc>
        <w:tc>
          <w:tcPr>
            <w:tcW w:w="2315" w:type="dxa"/>
            <w:tcBorders>
              <w:top w:val="nil"/>
              <w:left w:val="nil"/>
              <w:bottom w:val="single" w:color="auto" w:sz="4" w:space="0"/>
              <w:right w:val="single" w:color="auto" w:sz="4" w:space="0"/>
            </w:tcBorders>
            <w:noWrap/>
            <w:vAlign w:val="center"/>
          </w:tcPr>
          <w:p w14:paraId="395BF816">
            <w:pPr>
              <w:widowControl/>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highlight w:val="none"/>
                <w:lang w:val="en-US" w:eastAsia="zh-CN"/>
              </w:rPr>
              <w:t>2113.24</w:t>
            </w:r>
          </w:p>
        </w:tc>
      </w:tr>
    </w:tbl>
    <w:p w14:paraId="278D0EFC">
      <w:pPr>
        <w:pStyle w:val="53"/>
        <w:numPr>
          <w:ilvl w:val="0"/>
          <w:numId w:val="0"/>
        </w:numPr>
        <w:tabs>
          <w:tab w:val="left" w:pos="420"/>
        </w:tabs>
        <w:spacing w:line="360" w:lineRule="auto"/>
        <w:rPr>
          <w:rFonts w:hint="eastAsia" w:ascii="宋体" w:hAnsi="宋体" w:eastAsia="宋体" w:cs="宋体"/>
          <w:sz w:val="24"/>
          <w:szCs w:val="24"/>
          <w:lang w:val="zh-CN"/>
        </w:rPr>
      </w:pPr>
      <w:bookmarkStart w:id="119" w:name="_Toc211511475"/>
    </w:p>
    <w:p w14:paraId="6B73ACD7">
      <w:pPr>
        <w:pStyle w:val="53"/>
        <w:numPr>
          <w:ilvl w:val="0"/>
          <w:numId w:val="0"/>
        </w:numPr>
        <w:tabs>
          <w:tab w:val="left" w:pos="420"/>
        </w:tabs>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三、监理工作主要内容</w:t>
      </w:r>
      <w:bookmarkEnd w:id="119"/>
    </w:p>
    <w:p w14:paraId="15A3B7A9">
      <w:pPr>
        <w:spacing w:line="360" w:lineRule="auto"/>
        <w:ind w:firstLine="480" w:firstLineChars="200"/>
        <w:jc w:val="left"/>
        <w:rPr>
          <w:rFonts w:hint="eastAsia" w:ascii="宋体" w:hAnsi="宋体" w:eastAsia="宋体" w:cs="宋体"/>
          <w:sz w:val="24"/>
          <w:lang w:val="zh-CN"/>
        </w:rPr>
      </w:pPr>
      <w:bookmarkStart w:id="120" w:name="_Toc10921"/>
      <w:bookmarkStart w:id="121" w:name="_Toc31274"/>
      <w:bookmarkStart w:id="122" w:name="_Toc19683"/>
      <w:bookmarkStart w:id="123" w:name="_Toc9667"/>
      <w:bookmarkStart w:id="124" w:name="_Toc5599_WPSOffice_Level2"/>
      <w:bookmarkStart w:id="125" w:name="_Toc17708"/>
      <w:bookmarkStart w:id="126" w:name="_Toc8911"/>
      <w:bookmarkStart w:id="127" w:name="_Toc8295"/>
      <w:bookmarkStart w:id="128" w:name="_Toc18174"/>
      <w:r>
        <w:rPr>
          <w:rFonts w:hint="eastAsia" w:ascii="宋体" w:hAnsi="宋体" w:eastAsia="宋体" w:cs="宋体"/>
          <w:sz w:val="24"/>
          <w:lang w:val="zh-CN"/>
        </w:rPr>
        <w:t>工程施工阶段施工过程中的质量、进度、费用控制，安全生产监督管理、合同、信息等方面的协调管理；保修阶段的监理及相关服务。</w:t>
      </w:r>
    </w:p>
    <w:p w14:paraId="06B9EC2C">
      <w:pPr>
        <w:pStyle w:val="53"/>
        <w:numPr>
          <w:ilvl w:val="0"/>
          <w:numId w:val="0"/>
        </w:numPr>
        <w:tabs>
          <w:tab w:val="left" w:pos="420"/>
        </w:tabs>
        <w:spacing w:line="360" w:lineRule="auto"/>
        <w:rPr>
          <w:rFonts w:hint="eastAsia" w:ascii="宋体" w:hAnsi="宋体" w:eastAsia="宋体" w:cs="宋体"/>
          <w:sz w:val="24"/>
          <w:szCs w:val="24"/>
          <w:lang w:val="zh-CN"/>
        </w:rPr>
      </w:pPr>
      <w:bookmarkStart w:id="129" w:name="_Toc211511476"/>
      <w:r>
        <w:rPr>
          <w:rFonts w:hint="eastAsia" w:ascii="宋体" w:hAnsi="宋体" w:eastAsia="宋体" w:cs="宋体"/>
          <w:sz w:val="24"/>
          <w:szCs w:val="24"/>
          <w:lang w:val="zh-CN"/>
        </w:rPr>
        <w:t>四、服务人员要求</w:t>
      </w:r>
      <w:bookmarkEnd w:id="120"/>
      <w:bookmarkEnd w:id="121"/>
      <w:bookmarkEnd w:id="122"/>
      <w:bookmarkEnd w:id="123"/>
      <w:bookmarkEnd w:id="124"/>
      <w:bookmarkEnd w:id="125"/>
      <w:bookmarkEnd w:id="126"/>
      <w:bookmarkEnd w:id="127"/>
      <w:bookmarkEnd w:id="128"/>
      <w:bookmarkEnd w:id="129"/>
    </w:p>
    <w:p w14:paraId="0FF9A730">
      <w:pPr>
        <w:spacing w:line="360" w:lineRule="auto"/>
        <w:ind w:firstLine="480" w:firstLineChars="200"/>
        <w:jc w:val="left"/>
        <w:rPr>
          <w:rFonts w:hint="eastAsia" w:ascii="宋体" w:hAnsi="宋体" w:eastAsia="宋体" w:cs="宋体"/>
          <w:sz w:val="24"/>
          <w:szCs w:val="24"/>
          <w:lang w:val="zh-CN"/>
        </w:rPr>
      </w:pPr>
      <w:r>
        <w:rPr>
          <w:rFonts w:hint="eastAsia" w:ascii="宋体" w:hAnsi="宋体" w:eastAsia="宋体" w:cs="宋体"/>
          <w:sz w:val="24"/>
          <w:lang w:val="zh-CN"/>
        </w:rPr>
        <w:t>现场总监需具有国家注册监理工程师（市政公用工程专业），拟选派项目总监理工程师在镇江市行政区域内在建工程数量不超过1个，镇江市行政区域外不得有在建工程，现场需配备符合要求的专业监理工程师，前述所有监理机构人员应符合国家有关法律法规要求和国家、地方及行业有关标准要求。</w:t>
      </w:r>
      <w:bookmarkStart w:id="130" w:name="_Toc16909"/>
      <w:bookmarkStart w:id="131" w:name="_Toc13886"/>
      <w:bookmarkStart w:id="132" w:name="_Toc26798"/>
      <w:bookmarkStart w:id="133" w:name="_Toc24290"/>
      <w:bookmarkStart w:id="134" w:name="_Toc29112"/>
      <w:bookmarkStart w:id="135" w:name="_Toc25323"/>
      <w:bookmarkStart w:id="136" w:name="_Toc211511477"/>
      <w:bookmarkStart w:id="137" w:name="_Toc14043"/>
      <w:bookmarkStart w:id="138" w:name="_Toc28209_WPSOffice_Level2"/>
      <w:bookmarkStart w:id="139" w:name="_Toc20116"/>
      <w:bookmarkStart w:id="140" w:name="_Toc22018"/>
      <w:bookmarkStart w:id="141" w:name="_Toc13004"/>
      <w:bookmarkStart w:id="142" w:name="_Toc14340"/>
    </w:p>
    <w:p w14:paraId="6E1CE42A">
      <w:pPr>
        <w:pStyle w:val="53"/>
        <w:numPr>
          <w:ilvl w:val="0"/>
          <w:numId w:val="0"/>
        </w:numPr>
        <w:tabs>
          <w:tab w:val="left" w:pos="420"/>
        </w:tabs>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五、商务要求</w:t>
      </w:r>
      <w:bookmarkEnd w:id="130"/>
      <w:bookmarkEnd w:id="131"/>
      <w:bookmarkEnd w:id="132"/>
      <w:bookmarkEnd w:id="133"/>
      <w:bookmarkEnd w:id="134"/>
      <w:bookmarkEnd w:id="135"/>
      <w:bookmarkEnd w:id="136"/>
      <w:bookmarkEnd w:id="137"/>
    </w:p>
    <w:bookmarkEnd w:id="138"/>
    <w:bookmarkEnd w:id="139"/>
    <w:bookmarkEnd w:id="140"/>
    <w:bookmarkEnd w:id="141"/>
    <w:bookmarkEnd w:id="142"/>
    <w:p w14:paraId="656A1A4A">
      <w:pPr>
        <w:spacing w:line="360" w:lineRule="auto"/>
        <w:ind w:firstLine="480"/>
        <w:rPr>
          <w:rFonts w:hint="eastAsia" w:ascii="宋体" w:hAnsi="宋体" w:eastAsia="宋体" w:cs="宋体"/>
          <w:sz w:val="24"/>
          <w:lang w:val="zh-CN"/>
        </w:rPr>
      </w:pPr>
      <w:r>
        <w:rPr>
          <w:rFonts w:hint="eastAsia" w:ascii="宋体" w:hAnsi="宋体" w:eastAsia="宋体" w:cs="宋体"/>
          <w:sz w:val="24"/>
        </w:rPr>
        <w:t>1、</w:t>
      </w:r>
      <w:r>
        <w:rPr>
          <w:rFonts w:hint="eastAsia" w:ascii="宋体" w:hAnsi="宋体" w:eastAsia="宋体" w:cs="宋体"/>
          <w:sz w:val="24"/>
          <w:lang w:val="zh-CN"/>
        </w:rPr>
        <w:t>服务期</w:t>
      </w:r>
      <w:r>
        <w:rPr>
          <w:rFonts w:hint="eastAsia" w:ascii="宋体" w:hAnsi="宋体" w:eastAsia="宋体" w:cs="宋体"/>
          <w:sz w:val="24"/>
        </w:rPr>
        <w:t>限：</w:t>
      </w:r>
    </w:p>
    <w:p w14:paraId="327F6C9D">
      <w:pPr>
        <w:spacing w:line="360" w:lineRule="auto"/>
        <w:ind w:firstLine="480" w:firstLineChars="200"/>
        <w:rPr>
          <w:rFonts w:hint="eastAsia" w:ascii="宋体" w:hAnsi="宋体" w:eastAsia="宋体" w:cs="宋体"/>
          <w:sz w:val="24"/>
          <w:lang w:val="zh-CN"/>
        </w:rPr>
      </w:pPr>
      <w:r>
        <w:rPr>
          <w:rFonts w:hint="eastAsia" w:ascii="宋体" w:hAnsi="宋体" w:eastAsia="宋体" w:cs="宋体"/>
          <w:sz w:val="24"/>
          <w:lang w:val="zh-CN"/>
        </w:rPr>
        <w:t>自合同签订之日起</w:t>
      </w:r>
      <w:r>
        <w:rPr>
          <w:rFonts w:hint="eastAsia" w:ascii="宋体" w:hAnsi="宋体" w:eastAsia="宋体" w:cs="宋体"/>
          <w:sz w:val="24"/>
          <w:u w:val="single"/>
        </w:rPr>
        <w:t>1</w:t>
      </w:r>
      <w:r>
        <w:rPr>
          <w:rFonts w:hint="eastAsia" w:ascii="宋体" w:hAnsi="宋体" w:eastAsia="宋体" w:cs="宋体"/>
          <w:sz w:val="24"/>
          <w:u w:val="single"/>
          <w:lang w:val="en-US" w:eastAsia="zh-CN"/>
        </w:rPr>
        <w:t>5</w:t>
      </w:r>
      <w:r>
        <w:rPr>
          <w:rFonts w:hint="eastAsia" w:ascii="宋体" w:hAnsi="宋体" w:eastAsia="宋体" w:cs="宋体"/>
          <w:sz w:val="24"/>
          <w:u w:val="single"/>
        </w:rPr>
        <w:t>0日历天</w:t>
      </w:r>
      <w:r>
        <w:rPr>
          <w:rFonts w:hint="eastAsia" w:ascii="宋体" w:hAnsi="宋体" w:eastAsia="宋体" w:cs="宋体"/>
          <w:sz w:val="24"/>
          <w:lang w:val="zh-CN"/>
        </w:rPr>
        <w:t>。</w:t>
      </w:r>
    </w:p>
    <w:p w14:paraId="240045E2">
      <w:pPr>
        <w:spacing w:line="360" w:lineRule="auto"/>
        <w:ind w:firstLine="480" w:firstLineChars="200"/>
        <w:rPr>
          <w:rFonts w:hint="eastAsia" w:ascii="宋体" w:hAnsi="宋体" w:eastAsia="宋体" w:cs="宋体"/>
          <w:sz w:val="24"/>
          <w:lang w:val="zh-CN"/>
        </w:rPr>
      </w:pPr>
      <w:r>
        <w:rPr>
          <w:rFonts w:hint="eastAsia" w:ascii="宋体" w:hAnsi="宋体" w:eastAsia="宋体" w:cs="宋体"/>
          <w:sz w:val="24"/>
          <w:lang w:val="zh-CN"/>
        </w:rPr>
        <w:t>服务地点为：位于镇江市丹徒区宜城街道。</w:t>
      </w:r>
    </w:p>
    <w:p w14:paraId="474A10B3">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付款方式</w:t>
      </w:r>
      <w:r>
        <w:rPr>
          <w:rFonts w:hint="eastAsia" w:ascii="宋体" w:hAnsi="宋体" w:eastAsia="宋体" w:cs="宋体"/>
          <w:sz w:val="24"/>
          <w:lang w:val="zh-CN"/>
        </w:rPr>
        <w:t>：</w:t>
      </w:r>
      <w:r>
        <w:rPr>
          <w:rFonts w:hint="eastAsia" w:ascii="宋体" w:hAnsi="宋体" w:eastAsia="宋体" w:cs="宋体"/>
          <w:sz w:val="24"/>
        </w:rPr>
        <w:t>详见合同</w:t>
      </w:r>
      <w:r>
        <w:rPr>
          <w:rFonts w:hint="eastAsia" w:ascii="宋体" w:hAnsi="宋体" w:eastAsia="宋体" w:cs="宋体"/>
          <w:sz w:val="24"/>
          <w:lang w:eastAsia="zh-CN"/>
        </w:rPr>
        <w:t>。</w:t>
      </w:r>
    </w:p>
    <w:p w14:paraId="1CA30D44">
      <w:pPr>
        <w:pStyle w:val="53"/>
        <w:numPr>
          <w:ilvl w:val="0"/>
          <w:numId w:val="0"/>
        </w:numPr>
        <w:tabs>
          <w:tab w:val="left" w:pos="420"/>
        </w:tabs>
        <w:spacing w:line="360" w:lineRule="auto"/>
        <w:rPr>
          <w:rFonts w:hint="eastAsia" w:ascii="宋体" w:hAnsi="宋体" w:eastAsia="宋体" w:cs="宋体"/>
          <w:sz w:val="24"/>
          <w:szCs w:val="24"/>
          <w:lang w:val="zh-CN"/>
        </w:rPr>
      </w:pPr>
      <w:bookmarkStart w:id="143" w:name="_Toc211511478"/>
      <w:r>
        <w:rPr>
          <w:rFonts w:hint="eastAsia" w:ascii="宋体" w:hAnsi="宋体" w:eastAsia="宋体" w:cs="宋体"/>
          <w:sz w:val="24"/>
          <w:szCs w:val="24"/>
          <w:lang w:val="zh-CN"/>
        </w:rPr>
        <w:t>六、其他要求：</w:t>
      </w:r>
      <w:bookmarkEnd w:id="143"/>
    </w:p>
    <w:p w14:paraId="51D95267">
      <w:pPr>
        <w:spacing w:line="360" w:lineRule="auto"/>
        <w:ind w:firstLine="480" w:firstLineChars="200"/>
        <w:rPr>
          <w:rFonts w:hint="eastAsia" w:ascii="宋体" w:hAnsi="宋体" w:eastAsia="宋体" w:cs="宋体"/>
          <w:sz w:val="24"/>
          <w:lang w:val="zh-CN"/>
        </w:rPr>
      </w:pPr>
      <w:r>
        <w:rPr>
          <w:rFonts w:hint="eastAsia" w:ascii="宋体" w:hAnsi="宋体" w:eastAsia="宋体" w:cs="宋体"/>
          <w:sz w:val="24"/>
          <w:lang w:val="zh-CN"/>
        </w:rPr>
        <w:t>供应商应编制本项目的技术文件、商务文件、投标报价。技术文件应包含项目对本项目工程概况、质量控制方案、进度控制方案、投资控制方案、安全文明控制方案、合同管理控制方案、信息管理控制方案、保修阶段方案、组织协调方案、工作制度、技术建议；商务评审应包含：人员机构（总监理工程师、市政公用工程专业监理、给排水专业监理、安全专业监理、造价专业监理工程师）、设备仪器评价、企业业绩、奖项；投标报价按磋商文件评审细则中报价要求进行报价。</w:t>
      </w:r>
    </w:p>
    <w:p w14:paraId="430496A8">
      <w:pPr>
        <w:pStyle w:val="15"/>
        <w:rPr>
          <w:lang w:val="zh-CN"/>
        </w:rPr>
      </w:pPr>
      <w:r>
        <w:rPr>
          <w:lang w:val="zh-CN"/>
        </w:rPr>
        <w:br w:type="page"/>
      </w:r>
    </w:p>
    <w:p w14:paraId="769888E8">
      <w:pPr>
        <w:spacing w:line="360" w:lineRule="auto"/>
        <w:ind w:firstLine="480" w:firstLineChars="200"/>
        <w:rPr>
          <w:rFonts w:ascii="Times New Roman" w:hAnsi="Times New Roman" w:eastAsia="仿宋" w:cs="Times New Roman"/>
          <w:sz w:val="24"/>
          <w:lang w:val="zh-CN"/>
        </w:rPr>
      </w:pPr>
    </w:p>
    <w:p w14:paraId="1896B5B8">
      <w:pPr>
        <w:pStyle w:val="15"/>
      </w:pPr>
    </w:p>
    <w:p w14:paraId="4D673446">
      <w:pPr>
        <w:pStyle w:val="2"/>
        <w:spacing w:line="360" w:lineRule="auto"/>
        <w:jc w:val="center"/>
      </w:pPr>
      <w:bookmarkStart w:id="144" w:name="_Toc211511479"/>
      <w:r>
        <w:rPr>
          <w:rFonts w:hint="eastAsia"/>
        </w:rPr>
        <w:t>第五部分磋商及评审</w:t>
      </w:r>
      <w:bookmarkEnd w:id="144"/>
    </w:p>
    <w:p w14:paraId="0B4D3BDF">
      <w:pPr>
        <w:pStyle w:val="3"/>
        <w:spacing w:line="360" w:lineRule="auto"/>
        <w:jc w:val="left"/>
      </w:pPr>
      <w:bookmarkStart w:id="145" w:name="_Toc211511480"/>
      <w:r>
        <w:rPr>
          <w:rFonts w:hint="eastAsia"/>
        </w:rPr>
        <w:t>一、磋商小组职责</w:t>
      </w:r>
      <w:bookmarkEnd w:id="145"/>
    </w:p>
    <w:p w14:paraId="2CFE96B5">
      <w:pPr>
        <w:spacing w:line="264" w:lineRule="auto"/>
        <w:rPr>
          <w:rFonts w:ascii="Arial"/>
        </w:rPr>
      </w:pPr>
    </w:p>
    <w:p w14:paraId="3DE8562D">
      <w:pPr>
        <w:widowControl/>
        <w:spacing w:line="360" w:lineRule="auto"/>
        <w:ind w:firstLine="480" w:firstLineChars="200"/>
        <w:rPr>
          <w:rFonts w:ascii="Times New Roman" w:hAnsi="Times New Roman" w:cs="Times New Roman"/>
          <w:iCs/>
          <w:sz w:val="24"/>
        </w:rPr>
      </w:pPr>
      <w:r>
        <w:rPr>
          <w:rFonts w:hint="eastAsia" w:ascii="Times New Roman" w:hAnsi="Times New Roman" w:cs="Times New Roman"/>
          <w:iCs/>
          <w:sz w:val="24"/>
        </w:rPr>
        <w:t>1.1熟悉和理解磋商文件，如磋商文件内容违反国家有关强制性规定的，磋商小组应当停止评审并向采购人或者采购代理机构说明情况。</w:t>
      </w:r>
    </w:p>
    <w:p w14:paraId="153ECD93">
      <w:pPr>
        <w:widowControl/>
        <w:spacing w:line="360" w:lineRule="auto"/>
        <w:ind w:firstLine="480" w:firstLineChars="200"/>
        <w:rPr>
          <w:rFonts w:ascii="Times New Roman" w:hAnsi="Times New Roman" w:cs="Times New Roman"/>
          <w:iCs/>
          <w:sz w:val="24"/>
        </w:rPr>
      </w:pPr>
      <w:r>
        <w:rPr>
          <w:rFonts w:hint="eastAsia" w:ascii="Times New Roman" w:hAnsi="Times New Roman" w:cs="Times New Roman"/>
          <w:iCs/>
          <w:sz w:val="24"/>
        </w:rPr>
        <w:t>1.2按照客观、公正、审慎的原则，根据磋商文件规定的评审程序、评审方法和评审标准进行独立评审。</w:t>
      </w:r>
    </w:p>
    <w:p w14:paraId="25612FFC">
      <w:pPr>
        <w:widowControl/>
        <w:spacing w:line="360" w:lineRule="auto"/>
        <w:ind w:firstLine="480" w:firstLineChars="200"/>
        <w:rPr>
          <w:rFonts w:ascii="Times New Roman" w:hAnsi="Times New Roman" w:cs="Times New Roman"/>
          <w:iCs/>
          <w:sz w:val="24"/>
        </w:rPr>
      </w:pPr>
      <w:r>
        <w:rPr>
          <w:rFonts w:hint="eastAsia" w:ascii="Times New Roman" w:hAnsi="Times New Roman" w:cs="Times New Roman"/>
          <w:iCs/>
          <w:sz w:val="24"/>
        </w:rPr>
        <w:t>1.3起草评审报告并进行签署。</w:t>
      </w:r>
    </w:p>
    <w:p w14:paraId="1C7A9723">
      <w:pPr>
        <w:widowControl/>
        <w:spacing w:line="360" w:lineRule="auto"/>
        <w:ind w:firstLine="480" w:firstLineChars="200"/>
        <w:rPr>
          <w:rFonts w:ascii="Times New Roman" w:hAnsi="Times New Roman" w:cs="Times New Roman"/>
          <w:iCs/>
          <w:sz w:val="24"/>
        </w:rPr>
      </w:pPr>
      <w:r>
        <w:rPr>
          <w:rFonts w:hint="eastAsia" w:ascii="Times New Roman" w:hAnsi="Times New Roman" w:cs="Times New Roman"/>
          <w:iCs/>
          <w:sz w:val="24"/>
        </w:rPr>
        <w:t>1.4推荐成交供应商。</w:t>
      </w:r>
    </w:p>
    <w:p w14:paraId="2604E339">
      <w:pPr>
        <w:widowControl/>
        <w:spacing w:line="360" w:lineRule="auto"/>
        <w:ind w:firstLine="480" w:firstLineChars="200"/>
        <w:rPr>
          <w:rFonts w:ascii="Times New Roman" w:hAnsi="Times New Roman" w:cs="Times New Roman"/>
          <w:iCs/>
          <w:sz w:val="24"/>
        </w:rPr>
      </w:pPr>
      <w:r>
        <w:rPr>
          <w:rFonts w:hint="eastAsia" w:ascii="Times New Roman" w:hAnsi="Times New Roman" w:cs="Times New Roman"/>
          <w:iCs/>
          <w:sz w:val="24"/>
        </w:rPr>
        <w:t>1.5向采购人、采购代理机构、财政部门或者其他监督部门报告非法干预评审工作的行为。</w:t>
      </w:r>
    </w:p>
    <w:p w14:paraId="248DBC74">
      <w:pPr>
        <w:widowControl/>
        <w:spacing w:line="360" w:lineRule="auto"/>
        <w:ind w:firstLine="480" w:firstLineChars="200"/>
        <w:rPr>
          <w:rFonts w:ascii="Times New Roman" w:hAnsi="Times New Roman" w:cs="Times New Roman"/>
          <w:iCs/>
          <w:sz w:val="24"/>
        </w:rPr>
      </w:pPr>
      <w:r>
        <w:rPr>
          <w:rFonts w:hint="eastAsia" w:ascii="Times New Roman" w:hAnsi="Times New Roman" w:cs="Times New Roman"/>
          <w:iCs/>
          <w:sz w:val="24"/>
        </w:rPr>
        <w:t>1.6法律、法规和规章规定的其他职责。</w:t>
      </w:r>
    </w:p>
    <w:p w14:paraId="6C837133">
      <w:pPr>
        <w:spacing w:line="304" w:lineRule="auto"/>
        <w:rPr>
          <w:rFonts w:ascii="Arial"/>
        </w:rPr>
      </w:pPr>
    </w:p>
    <w:p w14:paraId="099AA12D">
      <w:pPr>
        <w:pStyle w:val="3"/>
        <w:spacing w:line="360" w:lineRule="auto"/>
        <w:jc w:val="left"/>
      </w:pPr>
      <w:bookmarkStart w:id="146" w:name="_Toc211511481"/>
      <w:r>
        <w:rPr>
          <w:rFonts w:hint="eastAsia"/>
        </w:rPr>
        <w:t>二、磋商及评审程序</w:t>
      </w:r>
      <w:bookmarkEnd w:id="146"/>
    </w:p>
    <w:p w14:paraId="0C25E157">
      <w:pPr>
        <w:spacing w:line="265" w:lineRule="auto"/>
        <w:rPr>
          <w:rFonts w:ascii="Arial"/>
        </w:rPr>
      </w:pPr>
    </w:p>
    <w:p w14:paraId="24427D9B">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2.1磋商组织方按磋商小组名单核对身份并签到。</w:t>
      </w:r>
    </w:p>
    <w:p w14:paraId="25D96339">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2.2磋商组织方宣布磋商及评审纪律，磋商小组确认有无回避的情形。</w:t>
      </w:r>
    </w:p>
    <w:p w14:paraId="1FC0593A">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2.3磋商小组推选组长，负责组织磋商及评审活动，采购人代表不得担任组长。</w:t>
      </w:r>
    </w:p>
    <w:p w14:paraId="312BBF8B">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2.4磋商小组正式评审前，应当对磋商文件进行熟悉和理解，审查磋商文件。</w:t>
      </w:r>
    </w:p>
    <w:p w14:paraId="765FF72F">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2.5磋商小组将对供应商进行资格审查，对首次响应文件进行有效性、完整性和响应程度审查。未通过审查的供应商不得参与磋商，磋商小组应书面告知供应商并说明理由。</w:t>
      </w:r>
    </w:p>
    <w:p w14:paraId="5A9AAF0C">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p>
    <w:p w14:paraId="7B3A4BA1">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2.7磋商小组应集中与符合要求的单一供应商分别进行磋商，并给予所有参加磋商的供应商平等的磋商机会。</w:t>
      </w:r>
    </w:p>
    <w:p w14:paraId="06744B64">
      <w:pPr>
        <w:spacing w:line="360" w:lineRule="auto"/>
        <w:ind w:firstLine="480" w:firstLineChars="200"/>
        <w:rPr>
          <w:rFonts w:ascii="Times New Roman" w:hAnsi="Times New Roman" w:eastAsia="宋体" w:cs="Times New Roman"/>
          <w:sz w:val="24"/>
        </w:rPr>
      </w:pPr>
      <w:bookmarkStart w:id="147" w:name="_bookmark63"/>
      <w:bookmarkEnd w:id="147"/>
      <w:r>
        <w:rPr>
          <w:rFonts w:ascii="Times New Roman" w:hAnsi="Times New Roman" w:eastAsia="宋体" w:cs="Times New Roman"/>
          <w:sz w:val="24"/>
        </w:rPr>
        <w:t>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p>
    <w:p w14:paraId="367CDE05">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2.9磋商文件能够详细列明采购标的的技术、服务要求的，磋商结束后，磋商小组应要</w:t>
      </w:r>
    </w:p>
    <w:p w14:paraId="6F5E4379">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求所有实质性响应的供应商在规定时间内提交最后报价。</w:t>
      </w:r>
    </w:p>
    <w:p w14:paraId="0E4F7B1C">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磋商文件不能详细列明采购标的的技术、服务要求，需经磋商由供应商提供最终设计方案或解决方案的，磋商结束后，磋商小组应按照少数服从多数的原则投票推荐三家及以</w:t>
      </w:r>
    </w:p>
    <w:p w14:paraId="1A32A848">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上供应商的设计方案或者解决方案，并要求其在规定时间内提交最后报价。</w:t>
      </w:r>
    </w:p>
    <w:p w14:paraId="246E9418">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符合磋商文件供应商须知规定情形的，提交最后报价的供应商可以为2家。</w:t>
      </w:r>
    </w:p>
    <w:p w14:paraId="41343090">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2.10经磋商确定最终采购需求和提交最后报价的供应商后，磋商小组应对提交最后报</w:t>
      </w:r>
    </w:p>
    <w:p w14:paraId="0A37E7F9">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价的供应商的响应文件和最后报价进行评审。</w:t>
      </w:r>
    </w:p>
    <w:p w14:paraId="1DCADEE7">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2.11磋商小组对磋商供应商得分按照从高到低进行排序，得分相同的磋商供应商，报</w:t>
      </w:r>
    </w:p>
    <w:p w14:paraId="0AD5F42D">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价低者排名在前，评审得分且最后报价相同的，按技术指标优劣顺序排列。</w:t>
      </w:r>
    </w:p>
    <w:p w14:paraId="4D0514EC">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2.12推荐成交候选供应商，并出具书面评审报告。</w:t>
      </w:r>
    </w:p>
    <w:p w14:paraId="570092E0">
      <w:pPr>
        <w:spacing w:line="360" w:lineRule="auto"/>
        <w:ind w:firstLine="480" w:firstLineChars="200"/>
        <w:rPr>
          <w:rFonts w:ascii="Times New Roman" w:hAnsi="Times New Roman" w:eastAsia="宋体" w:cs="Times New Roman"/>
          <w:sz w:val="24"/>
        </w:rPr>
      </w:pPr>
    </w:p>
    <w:p w14:paraId="4C0F7FDA">
      <w:pPr>
        <w:spacing w:line="256" w:lineRule="auto"/>
        <w:rPr>
          <w:rFonts w:ascii="Arial"/>
        </w:rPr>
      </w:pPr>
    </w:p>
    <w:p w14:paraId="09A8BE4B">
      <w:pPr>
        <w:pStyle w:val="3"/>
        <w:spacing w:line="360" w:lineRule="auto"/>
        <w:jc w:val="left"/>
      </w:pPr>
      <w:bookmarkStart w:id="148" w:name="_Toc211511482"/>
      <w:r>
        <w:rPr>
          <w:rFonts w:hint="eastAsia"/>
        </w:rPr>
        <w:t>三、供应商资格审查</w:t>
      </w:r>
      <w:bookmarkEnd w:id="148"/>
    </w:p>
    <w:p w14:paraId="2998EC89">
      <w:pPr>
        <w:spacing w:before="79" w:line="219" w:lineRule="auto"/>
        <w:ind w:left="604"/>
        <w:rPr>
          <w:rFonts w:ascii="宋体" w:hAnsi="宋体" w:eastAsia="宋体" w:cs="宋体"/>
          <w:spacing w:val="-2"/>
          <w:sz w:val="24"/>
        </w:rPr>
      </w:pPr>
    </w:p>
    <w:p w14:paraId="6AB6FA77">
      <w:pPr>
        <w:spacing w:before="79" w:line="219" w:lineRule="auto"/>
        <w:ind w:left="604"/>
        <w:rPr>
          <w:rFonts w:ascii="宋体" w:hAnsi="宋体" w:eastAsia="宋体" w:cs="宋体"/>
          <w:sz w:val="24"/>
        </w:rPr>
      </w:pPr>
      <w:r>
        <w:rPr>
          <w:rFonts w:ascii="宋体" w:hAnsi="宋体" w:eastAsia="宋体" w:cs="宋体"/>
          <w:spacing w:val="-2"/>
          <w:sz w:val="24"/>
        </w:rPr>
        <w:t>开启结束后，磋商小组将依法对供应商的资格进行审查。资格审查的内容如下：</w:t>
      </w:r>
    </w:p>
    <w:p w14:paraId="08B39800"/>
    <w:p w14:paraId="6CDAF9A3">
      <w:pPr>
        <w:spacing w:line="140" w:lineRule="exact"/>
      </w:pPr>
    </w:p>
    <w:tbl>
      <w:tblPr>
        <w:tblStyle w:val="31"/>
        <w:tblW w:w="95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94"/>
        <w:gridCol w:w="2577"/>
        <w:gridCol w:w="6488"/>
      </w:tblGrid>
      <w:tr w14:paraId="03120D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atLeast"/>
        </w:trPr>
        <w:tc>
          <w:tcPr>
            <w:tcW w:w="494" w:type="dxa"/>
            <w:textDirection w:val="tbRlV"/>
            <w:vAlign w:val="center"/>
          </w:tcPr>
          <w:p w14:paraId="27A7C08D">
            <w:pPr>
              <w:spacing w:before="149" w:line="217" w:lineRule="auto"/>
              <w:ind w:left="194"/>
              <w:jc w:val="center"/>
              <w:rPr>
                <w:rFonts w:ascii="宋体" w:hAnsi="宋体" w:eastAsia="宋体" w:cs="宋体"/>
                <w:sz w:val="20"/>
                <w:szCs w:val="20"/>
              </w:rPr>
            </w:pPr>
            <w:r>
              <w:rPr>
                <w:rFonts w:ascii="宋体" w:hAnsi="宋体" w:eastAsia="宋体" w:cs="宋体"/>
                <w:spacing w:val="8"/>
                <w:sz w:val="20"/>
                <w:szCs w:val="20"/>
              </w:rPr>
              <w:t>序号</w:t>
            </w:r>
          </w:p>
        </w:tc>
        <w:tc>
          <w:tcPr>
            <w:tcW w:w="2577" w:type="dxa"/>
            <w:vAlign w:val="center"/>
          </w:tcPr>
          <w:p w14:paraId="6992AF12">
            <w:pPr>
              <w:spacing w:before="65" w:line="219" w:lineRule="auto"/>
              <w:jc w:val="center"/>
              <w:rPr>
                <w:rFonts w:ascii="宋体" w:hAnsi="宋体" w:eastAsia="宋体" w:cs="宋体"/>
                <w:sz w:val="20"/>
                <w:szCs w:val="20"/>
              </w:rPr>
            </w:pPr>
            <w:r>
              <w:rPr>
                <w:rFonts w:ascii="宋体" w:hAnsi="宋体" w:eastAsia="宋体" w:cs="宋体"/>
                <w:spacing w:val="2"/>
                <w:sz w:val="20"/>
                <w:szCs w:val="20"/>
              </w:rPr>
              <w:t>审查要素</w:t>
            </w:r>
          </w:p>
        </w:tc>
        <w:tc>
          <w:tcPr>
            <w:tcW w:w="6488" w:type="dxa"/>
            <w:vAlign w:val="center"/>
          </w:tcPr>
          <w:p w14:paraId="3B533B2D">
            <w:pPr>
              <w:spacing w:before="65" w:line="219" w:lineRule="auto"/>
              <w:jc w:val="center"/>
              <w:rPr>
                <w:rFonts w:ascii="宋体" w:hAnsi="宋体" w:eastAsia="宋体" w:cs="宋体"/>
                <w:sz w:val="20"/>
                <w:szCs w:val="20"/>
              </w:rPr>
            </w:pPr>
            <w:r>
              <w:rPr>
                <w:rFonts w:ascii="宋体" w:hAnsi="宋体" w:eastAsia="宋体" w:cs="宋体"/>
                <w:spacing w:val="7"/>
                <w:sz w:val="20"/>
                <w:szCs w:val="20"/>
              </w:rPr>
              <w:t>审查内容</w:t>
            </w:r>
          </w:p>
        </w:tc>
      </w:tr>
      <w:tr w14:paraId="38EEAC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8" w:hRule="atLeast"/>
        </w:trPr>
        <w:tc>
          <w:tcPr>
            <w:tcW w:w="494" w:type="dxa"/>
            <w:vAlign w:val="center"/>
          </w:tcPr>
          <w:p w14:paraId="66AD4278">
            <w:pPr>
              <w:spacing w:before="65" w:line="184" w:lineRule="auto"/>
              <w:ind w:left="185"/>
              <w:jc w:val="center"/>
              <w:rPr>
                <w:rFonts w:ascii="宋体" w:hAnsi="宋体" w:eastAsia="宋体" w:cs="宋体"/>
                <w:sz w:val="24"/>
              </w:rPr>
            </w:pPr>
            <w:r>
              <w:rPr>
                <w:rFonts w:hint="eastAsia" w:ascii="宋体" w:hAnsi="宋体" w:eastAsia="宋体" w:cs="宋体"/>
                <w:sz w:val="24"/>
              </w:rPr>
              <w:t>1</w:t>
            </w:r>
          </w:p>
        </w:tc>
        <w:tc>
          <w:tcPr>
            <w:tcW w:w="2577" w:type="dxa"/>
            <w:vAlign w:val="center"/>
          </w:tcPr>
          <w:p w14:paraId="1FDBDBBA">
            <w:pPr>
              <w:spacing w:line="249" w:lineRule="auto"/>
              <w:jc w:val="center"/>
              <w:rPr>
                <w:rFonts w:ascii="宋体" w:hAnsi="宋体" w:eastAsia="宋体" w:cs="宋体"/>
                <w:sz w:val="24"/>
              </w:rPr>
            </w:pPr>
            <w:r>
              <w:rPr>
                <w:rFonts w:hint="eastAsia" w:ascii="宋体" w:hAnsi="宋体" w:eastAsia="宋体" w:cs="宋体"/>
                <w:sz w:val="24"/>
              </w:rPr>
              <w:t>具有独立承担民事责任的能力</w:t>
            </w:r>
          </w:p>
        </w:tc>
        <w:tc>
          <w:tcPr>
            <w:tcW w:w="6488" w:type="dxa"/>
            <w:vAlign w:val="center"/>
          </w:tcPr>
          <w:p w14:paraId="508928CA">
            <w:pPr>
              <w:jc w:val="center"/>
              <w:rPr>
                <w:rFonts w:ascii="宋体" w:hAnsi="宋体" w:eastAsia="宋体" w:cs="宋体"/>
                <w:sz w:val="24"/>
              </w:rPr>
            </w:pPr>
            <w:r>
              <w:rPr>
                <w:rFonts w:hint="eastAsia" w:ascii="宋体" w:hAnsi="宋体" w:eastAsia="宋体" w:cs="宋体"/>
                <w:sz w:val="24"/>
              </w:rPr>
              <w:t>提供法人或者其他组织的营业执照等证明文件，自然人的身份证明</w:t>
            </w:r>
          </w:p>
        </w:tc>
      </w:tr>
      <w:tr w14:paraId="456CC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8" w:hRule="atLeast"/>
        </w:trPr>
        <w:tc>
          <w:tcPr>
            <w:tcW w:w="494" w:type="dxa"/>
            <w:vAlign w:val="center"/>
          </w:tcPr>
          <w:p w14:paraId="37585E75">
            <w:pPr>
              <w:spacing w:before="65" w:line="183" w:lineRule="auto"/>
              <w:ind w:left="185"/>
              <w:jc w:val="center"/>
              <w:rPr>
                <w:rFonts w:ascii="宋体" w:hAnsi="宋体" w:eastAsia="宋体" w:cs="宋体"/>
                <w:sz w:val="24"/>
              </w:rPr>
            </w:pPr>
            <w:r>
              <w:rPr>
                <w:rFonts w:hint="eastAsia" w:ascii="宋体" w:hAnsi="宋体" w:eastAsia="宋体" w:cs="宋体"/>
                <w:sz w:val="24"/>
              </w:rPr>
              <w:t>2</w:t>
            </w:r>
          </w:p>
        </w:tc>
        <w:tc>
          <w:tcPr>
            <w:tcW w:w="2577" w:type="dxa"/>
            <w:vAlign w:val="center"/>
          </w:tcPr>
          <w:p w14:paraId="542C7815">
            <w:pPr>
              <w:spacing w:line="249" w:lineRule="auto"/>
              <w:jc w:val="center"/>
              <w:rPr>
                <w:rFonts w:ascii="宋体" w:hAnsi="宋体" w:eastAsia="宋体" w:cs="宋体"/>
                <w:sz w:val="24"/>
              </w:rPr>
            </w:pPr>
            <w:r>
              <w:rPr>
                <w:rFonts w:hint="eastAsia" w:ascii="宋体" w:hAnsi="宋体" w:eastAsia="宋体" w:cs="宋体"/>
                <w:sz w:val="24"/>
              </w:rPr>
              <w:t>具有良好的商业信誉和健全的财务会计制度</w:t>
            </w:r>
          </w:p>
        </w:tc>
        <w:tc>
          <w:tcPr>
            <w:tcW w:w="6488" w:type="dxa"/>
            <w:vAlign w:val="center"/>
          </w:tcPr>
          <w:p w14:paraId="4907A5B4">
            <w:pPr>
              <w:jc w:val="center"/>
              <w:rPr>
                <w:rFonts w:ascii="宋体" w:hAnsi="宋体" w:eastAsia="宋体" w:cs="宋体"/>
                <w:sz w:val="24"/>
              </w:rPr>
            </w:pPr>
            <w:r>
              <w:rPr>
                <w:rFonts w:hint="eastAsia" w:ascii="宋体" w:hAnsi="宋体" w:eastAsia="宋体" w:cs="宋体"/>
                <w:sz w:val="24"/>
              </w:rPr>
              <w:t>提供2024年度财务报告(成立不满一年的提供至少一个月)，或银行出具的资信证明，或财政部门门认可的政府采购专业担保机构出具的谈判担保函等，或提供资格承诺函</w:t>
            </w:r>
          </w:p>
        </w:tc>
      </w:tr>
      <w:tr w14:paraId="341AB7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8" w:hRule="atLeast"/>
        </w:trPr>
        <w:tc>
          <w:tcPr>
            <w:tcW w:w="494" w:type="dxa"/>
            <w:vAlign w:val="center"/>
          </w:tcPr>
          <w:p w14:paraId="7A68A951">
            <w:pPr>
              <w:spacing w:before="65" w:line="183" w:lineRule="auto"/>
              <w:ind w:left="185"/>
              <w:jc w:val="center"/>
              <w:rPr>
                <w:rFonts w:ascii="宋体" w:hAnsi="宋体" w:eastAsia="宋体" w:cs="宋体"/>
                <w:sz w:val="24"/>
              </w:rPr>
            </w:pPr>
            <w:r>
              <w:rPr>
                <w:rFonts w:hint="eastAsia" w:ascii="宋体" w:hAnsi="宋体" w:eastAsia="宋体" w:cs="宋体"/>
                <w:sz w:val="24"/>
              </w:rPr>
              <w:t>3</w:t>
            </w:r>
          </w:p>
        </w:tc>
        <w:tc>
          <w:tcPr>
            <w:tcW w:w="2577" w:type="dxa"/>
            <w:vAlign w:val="center"/>
          </w:tcPr>
          <w:p w14:paraId="1C347779">
            <w:pPr>
              <w:spacing w:line="249" w:lineRule="auto"/>
              <w:jc w:val="center"/>
              <w:rPr>
                <w:rFonts w:ascii="宋体" w:hAnsi="宋体" w:eastAsia="宋体" w:cs="宋体"/>
                <w:sz w:val="24"/>
              </w:rPr>
            </w:pPr>
            <w:r>
              <w:rPr>
                <w:rFonts w:hint="eastAsia" w:ascii="宋体" w:hAnsi="宋体" w:eastAsia="宋体" w:cs="宋体"/>
                <w:sz w:val="24"/>
              </w:rPr>
              <w:t>具有履行合同所必需的设备和专业技术能力</w:t>
            </w:r>
          </w:p>
        </w:tc>
        <w:tc>
          <w:tcPr>
            <w:tcW w:w="6488" w:type="dxa"/>
            <w:vAlign w:val="center"/>
          </w:tcPr>
          <w:p w14:paraId="23D817ED">
            <w:pPr>
              <w:jc w:val="center"/>
              <w:rPr>
                <w:rFonts w:ascii="宋体" w:hAnsi="宋体" w:eastAsia="宋体" w:cs="宋体"/>
                <w:sz w:val="24"/>
              </w:rPr>
            </w:pPr>
            <w:r>
              <w:rPr>
                <w:rFonts w:hint="eastAsia" w:ascii="宋体" w:hAnsi="宋体" w:eastAsia="宋体" w:cs="宋体"/>
                <w:sz w:val="24"/>
              </w:rPr>
              <w:t>提供资格承诺函</w:t>
            </w:r>
          </w:p>
        </w:tc>
      </w:tr>
      <w:tr w14:paraId="5AD8D2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3" w:hRule="atLeast"/>
        </w:trPr>
        <w:tc>
          <w:tcPr>
            <w:tcW w:w="494" w:type="dxa"/>
            <w:vAlign w:val="center"/>
          </w:tcPr>
          <w:p w14:paraId="7FEDC417">
            <w:pPr>
              <w:spacing w:before="66" w:line="183" w:lineRule="auto"/>
              <w:ind w:left="185"/>
              <w:jc w:val="center"/>
              <w:rPr>
                <w:rFonts w:ascii="宋体" w:hAnsi="宋体" w:eastAsia="宋体" w:cs="宋体"/>
                <w:sz w:val="24"/>
              </w:rPr>
            </w:pPr>
            <w:r>
              <w:rPr>
                <w:rFonts w:hint="eastAsia" w:ascii="宋体" w:hAnsi="宋体" w:eastAsia="宋体" w:cs="宋体"/>
                <w:sz w:val="24"/>
              </w:rPr>
              <w:t>4</w:t>
            </w:r>
          </w:p>
        </w:tc>
        <w:tc>
          <w:tcPr>
            <w:tcW w:w="2577" w:type="dxa"/>
            <w:vAlign w:val="center"/>
          </w:tcPr>
          <w:p w14:paraId="5F889A0B">
            <w:pPr>
              <w:spacing w:line="249" w:lineRule="auto"/>
              <w:jc w:val="center"/>
              <w:rPr>
                <w:rFonts w:ascii="宋体" w:hAnsi="宋体" w:eastAsia="宋体" w:cs="宋体"/>
                <w:sz w:val="24"/>
              </w:rPr>
            </w:pPr>
            <w:r>
              <w:rPr>
                <w:rFonts w:hint="eastAsia" w:ascii="宋体" w:hAnsi="宋体" w:eastAsia="宋体" w:cs="宋体"/>
                <w:sz w:val="24"/>
              </w:rPr>
              <w:t>有依法缴纳税收和社会保障资金的良好记录</w:t>
            </w:r>
          </w:p>
        </w:tc>
        <w:tc>
          <w:tcPr>
            <w:tcW w:w="6488" w:type="dxa"/>
            <w:vAlign w:val="center"/>
          </w:tcPr>
          <w:p w14:paraId="168A8339">
            <w:pPr>
              <w:jc w:val="center"/>
              <w:rPr>
                <w:rFonts w:ascii="宋体" w:hAnsi="宋体" w:eastAsia="宋体" w:cs="宋体"/>
                <w:sz w:val="24"/>
              </w:rPr>
            </w:pPr>
            <w:r>
              <w:rPr>
                <w:rFonts w:hint="eastAsia" w:ascii="宋体" w:hAnsi="宋体" w:eastAsia="宋体" w:cs="宋体"/>
                <w:sz w:val="24"/>
              </w:rPr>
              <w:t>提供参加本次政府采购活动前半年内(至少一个月) 依法缴纳税收和社会保障资金的相关材料,或提供资格承诺函</w:t>
            </w:r>
          </w:p>
        </w:tc>
      </w:tr>
      <w:tr w14:paraId="23A70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3" w:hRule="atLeast"/>
        </w:trPr>
        <w:tc>
          <w:tcPr>
            <w:tcW w:w="494" w:type="dxa"/>
            <w:vAlign w:val="center"/>
          </w:tcPr>
          <w:p w14:paraId="4B0CE288">
            <w:pPr>
              <w:spacing w:before="65" w:line="182" w:lineRule="auto"/>
              <w:ind w:left="185"/>
              <w:jc w:val="center"/>
              <w:rPr>
                <w:rFonts w:ascii="宋体" w:hAnsi="宋体" w:eastAsia="宋体" w:cs="宋体"/>
                <w:sz w:val="24"/>
              </w:rPr>
            </w:pPr>
            <w:r>
              <w:rPr>
                <w:rFonts w:hint="eastAsia" w:ascii="宋体" w:hAnsi="宋体" w:eastAsia="宋体" w:cs="宋体"/>
                <w:sz w:val="24"/>
              </w:rPr>
              <w:t>5</w:t>
            </w:r>
          </w:p>
        </w:tc>
        <w:tc>
          <w:tcPr>
            <w:tcW w:w="2577" w:type="dxa"/>
            <w:vAlign w:val="center"/>
          </w:tcPr>
          <w:p w14:paraId="485B53D2">
            <w:pPr>
              <w:spacing w:line="249" w:lineRule="auto"/>
              <w:jc w:val="center"/>
              <w:rPr>
                <w:rFonts w:ascii="宋体" w:hAnsi="宋体" w:eastAsia="宋体" w:cs="宋体"/>
                <w:sz w:val="24"/>
              </w:rPr>
            </w:pPr>
            <w:r>
              <w:rPr>
                <w:rFonts w:hint="eastAsia" w:ascii="宋体" w:hAnsi="宋体" w:eastAsia="宋体" w:cs="宋体"/>
                <w:sz w:val="24"/>
              </w:rPr>
              <w:t>参加政府采购活动前三年</w:t>
            </w:r>
          </w:p>
          <w:p w14:paraId="72AB8603">
            <w:pPr>
              <w:spacing w:line="249" w:lineRule="auto"/>
              <w:jc w:val="center"/>
              <w:rPr>
                <w:rFonts w:ascii="宋体" w:hAnsi="宋体" w:eastAsia="宋体" w:cs="宋体"/>
                <w:sz w:val="24"/>
              </w:rPr>
            </w:pPr>
            <w:r>
              <w:rPr>
                <w:rFonts w:hint="eastAsia" w:ascii="宋体" w:hAnsi="宋体" w:eastAsia="宋体" w:cs="宋体"/>
                <w:sz w:val="24"/>
              </w:rPr>
              <w:t>内，在经营活动中没有重</w:t>
            </w:r>
          </w:p>
          <w:p w14:paraId="3941226B">
            <w:pPr>
              <w:spacing w:line="249" w:lineRule="auto"/>
              <w:jc w:val="center"/>
              <w:rPr>
                <w:rFonts w:ascii="宋体" w:hAnsi="宋体" w:eastAsia="宋体" w:cs="宋体"/>
                <w:sz w:val="24"/>
              </w:rPr>
            </w:pPr>
            <w:r>
              <w:rPr>
                <w:rFonts w:hint="eastAsia" w:ascii="宋体" w:hAnsi="宋体" w:eastAsia="宋体" w:cs="宋体"/>
                <w:sz w:val="24"/>
              </w:rPr>
              <w:t>大违法记录</w:t>
            </w:r>
          </w:p>
        </w:tc>
        <w:tc>
          <w:tcPr>
            <w:tcW w:w="6488" w:type="dxa"/>
            <w:vAlign w:val="center"/>
          </w:tcPr>
          <w:p w14:paraId="12D22A22">
            <w:pPr>
              <w:jc w:val="center"/>
              <w:rPr>
                <w:rFonts w:ascii="宋体" w:hAnsi="宋体" w:eastAsia="宋体" w:cs="宋体"/>
                <w:sz w:val="24"/>
              </w:rPr>
            </w:pPr>
            <w:r>
              <w:rPr>
                <w:rFonts w:hint="eastAsia" w:ascii="宋体" w:hAnsi="宋体" w:eastAsia="宋体" w:cs="宋体"/>
                <w:sz w:val="24"/>
              </w:rPr>
              <w:t>提供资格承诺函</w:t>
            </w:r>
          </w:p>
        </w:tc>
      </w:tr>
      <w:tr w14:paraId="0FBBC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3" w:hRule="atLeast"/>
        </w:trPr>
        <w:tc>
          <w:tcPr>
            <w:tcW w:w="494" w:type="dxa"/>
            <w:vAlign w:val="center"/>
          </w:tcPr>
          <w:p w14:paraId="594C00E3">
            <w:pPr>
              <w:spacing w:before="65" w:line="182" w:lineRule="auto"/>
              <w:ind w:left="185"/>
              <w:jc w:val="center"/>
              <w:rPr>
                <w:rFonts w:ascii="宋体" w:hAnsi="宋体" w:eastAsia="宋体" w:cs="宋体"/>
                <w:sz w:val="24"/>
              </w:rPr>
            </w:pPr>
            <w:r>
              <w:rPr>
                <w:rFonts w:hint="eastAsia" w:ascii="宋体" w:hAnsi="宋体" w:eastAsia="宋体" w:cs="宋体"/>
                <w:sz w:val="24"/>
              </w:rPr>
              <w:t>6</w:t>
            </w:r>
          </w:p>
        </w:tc>
        <w:tc>
          <w:tcPr>
            <w:tcW w:w="2577" w:type="dxa"/>
            <w:vAlign w:val="center"/>
          </w:tcPr>
          <w:p w14:paraId="53CAE8DE">
            <w:pPr>
              <w:spacing w:line="249" w:lineRule="auto"/>
              <w:jc w:val="center"/>
              <w:rPr>
                <w:rFonts w:ascii="宋体" w:hAnsi="宋体" w:eastAsia="宋体" w:cs="宋体"/>
                <w:sz w:val="24"/>
              </w:rPr>
            </w:pPr>
            <w:r>
              <w:rPr>
                <w:rFonts w:hint="eastAsia" w:ascii="宋体" w:hAnsi="宋体" w:eastAsia="宋体" w:cs="宋体"/>
                <w:sz w:val="24"/>
              </w:rPr>
              <w:t>法律、行政法规规定的其他条件</w:t>
            </w:r>
          </w:p>
        </w:tc>
        <w:tc>
          <w:tcPr>
            <w:tcW w:w="6488" w:type="dxa"/>
            <w:vAlign w:val="center"/>
          </w:tcPr>
          <w:p w14:paraId="2A5475C6">
            <w:pPr>
              <w:jc w:val="center"/>
              <w:rPr>
                <w:rFonts w:ascii="宋体" w:hAnsi="宋体" w:eastAsia="宋体" w:cs="宋体"/>
                <w:sz w:val="24"/>
              </w:rPr>
            </w:pPr>
            <w:r>
              <w:rPr>
                <w:rFonts w:hint="eastAsia" w:ascii="宋体" w:hAnsi="宋体" w:eastAsia="宋体" w:cs="宋体"/>
                <w:sz w:val="24"/>
              </w:rPr>
              <w:t>“信用中国”网站(www.creditchina.gov.cn)、或中国政府采购网</w:t>
            </w:r>
          </w:p>
          <w:p w14:paraId="053700B4">
            <w:pPr>
              <w:jc w:val="center"/>
              <w:rPr>
                <w:rFonts w:ascii="宋体" w:hAnsi="宋体" w:eastAsia="宋体" w:cs="宋体"/>
                <w:sz w:val="24"/>
              </w:rPr>
            </w:pPr>
            <w:r>
              <w:rPr>
                <w:rFonts w:hint="eastAsia" w:ascii="宋体" w:hAnsi="宋体" w:eastAsia="宋体" w:cs="宋体"/>
                <w:sz w:val="24"/>
              </w:rPr>
              <w:t>(www.ccgp.gov.cn)、或"信用江苏"网站(</w:t>
            </w:r>
            <w:r>
              <w:fldChar w:fldCharType="begin"/>
            </w:r>
            <w:r>
              <w:instrText xml:space="preserve"> HYPERLINK "http://credit.jiangsu.gov.cn/" </w:instrText>
            </w:r>
            <w:r>
              <w:fldChar w:fldCharType="separate"/>
            </w:r>
            <w:r>
              <w:rPr>
                <w:rFonts w:hint="eastAsia" w:ascii="宋体" w:hAnsi="宋体" w:eastAsia="宋体" w:cs="宋体"/>
                <w:sz w:val="24"/>
              </w:rPr>
              <w:t>http://credit.jiangsu.gov.cn/</w:t>
            </w:r>
            <w:r>
              <w:rPr>
                <w:rFonts w:hint="eastAsia" w:ascii="宋体" w:hAnsi="宋体" w:eastAsia="宋体" w:cs="宋体"/>
                <w:sz w:val="24"/>
              </w:rPr>
              <w:fldChar w:fldCharType="end"/>
            </w:r>
            <w:r>
              <w:rPr>
                <w:rFonts w:hint="eastAsia" w:ascii="宋体" w:hAnsi="宋体" w:eastAsia="宋体" w:cs="宋体"/>
                <w:sz w:val="24"/>
              </w:rPr>
              <w:t>)</w:t>
            </w:r>
          </w:p>
          <w:p w14:paraId="2A22AFB7">
            <w:pPr>
              <w:jc w:val="center"/>
              <w:rPr>
                <w:rFonts w:ascii="宋体" w:hAnsi="宋体" w:eastAsia="宋体" w:cs="宋体"/>
                <w:sz w:val="24"/>
              </w:rPr>
            </w:pPr>
            <w:r>
              <w:rPr>
                <w:rFonts w:hint="eastAsia" w:ascii="宋体" w:hAnsi="宋体" w:eastAsia="宋体" w:cs="宋体"/>
                <w:sz w:val="24"/>
              </w:rPr>
              <w:t>的查询结果未列入失信被执行人名单、重大税收违法案件当事人名单、政府采购严重违法失信行为名单，以现场查询为准。</w:t>
            </w:r>
          </w:p>
        </w:tc>
      </w:tr>
      <w:tr w14:paraId="727AF4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3" w:hRule="atLeast"/>
        </w:trPr>
        <w:tc>
          <w:tcPr>
            <w:tcW w:w="494" w:type="dxa"/>
            <w:vAlign w:val="center"/>
          </w:tcPr>
          <w:p w14:paraId="32C3E506">
            <w:pPr>
              <w:spacing w:before="65" w:line="182" w:lineRule="auto"/>
              <w:ind w:left="185"/>
              <w:jc w:val="center"/>
              <w:rPr>
                <w:rFonts w:ascii="宋体" w:hAnsi="宋体" w:eastAsia="宋体" w:cs="宋体"/>
                <w:sz w:val="24"/>
              </w:rPr>
            </w:pPr>
            <w:r>
              <w:rPr>
                <w:rFonts w:hint="eastAsia" w:ascii="宋体" w:hAnsi="宋体" w:eastAsia="宋体" w:cs="宋体"/>
                <w:sz w:val="24"/>
              </w:rPr>
              <w:t>7</w:t>
            </w:r>
          </w:p>
        </w:tc>
        <w:tc>
          <w:tcPr>
            <w:tcW w:w="2577" w:type="dxa"/>
            <w:vAlign w:val="center"/>
          </w:tcPr>
          <w:p w14:paraId="2035F3A5">
            <w:pPr>
              <w:spacing w:line="249" w:lineRule="auto"/>
              <w:jc w:val="center"/>
              <w:rPr>
                <w:rFonts w:ascii="宋体" w:hAnsi="宋体" w:eastAsia="宋体" w:cs="宋体"/>
                <w:sz w:val="24"/>
              </w:rPr>
            </w:pPr>
            <w:r>
              <w:rPr>
                <w:rFonts w:hint="eastAsia" w:ascii="宋体" w:hAnsi="宋体" w:eastAsia="宋体" w:cs="宋体"/>
                <w:sz w:val="24"/>
              </w:rPr>
              <w:t>落实政府采购政策需满足的资格要求</w:t>
            </w:r>
          </w:p>
        </w:tc>
        <w:tc>
          <w:tcPr>
            <w:tcW w:w="6488" w:type="dxa"/>
            <w:vAlign w:val="center"/>
          </w:tcPr>
          <w:p w14:paraId="50D0B9F6">
            <w:pPr>
              <w:jc w:val="left"/>
              <w:rPr>
                <w:rFonts w:ascii="宋体" w:hAnsi="宋体" w:eastAsia="宋体" w:cs="宋体"/>
                <w:sz w:val="24"/>
              </w:rPr>
            </w:pPr>
            <w:r>
              <w:rPr>
                <w:rFonts w:hint="eastAsia" w:ascii="宋体" w:hAnsi="宋体" w:eastAsia="宋体" w:cs="宋体"/>
                <w:sz w:val="24"/>
              </w:rPr>
              <w:t>根据财政部、工业和信息化部关于印发《政府采购促进中小企业发展管理办法》的通知及苏财购【2022】45 号的相关规定，本项目专门面向中小微企业采购，只接受中小微企业投标。中小企业划分标准见《工业和信息化部、国家统计局、国家发展和改革委员会、财政部关于印发中小企业划型标准规定的通知》(工信部联企业[2011]300号)(所属行业:</w:t>
            </w:r>
            <w:r>
              <w:rPr>
                <w:rFonts w:hint="eastAsia" w:ascii="宋体" w:hAnsi="宋体" w:eastAsia="宋体" w:cs="宋体"/>
                <w:sz w:val="24"/>
                <w:lang w:eastAsia="zh-CN"/>
              </w:rPr>
              <w:t>租赁和商务服务业</w:t>
            </w:r>
            <w:r>
              <w:rPr>
                <w:rFonts w:hint="eastAsia" w:ascii="宋体" w:hAnsi="宋体" w:eastAsia="宋体" w:cs="宋体"/>
                <w:sz w:val="24"/>
              </w:rPr>
              <w:t>) 。提供中小企业声明函。</w:t>
            </w:r>
          </w:p>
        </w:tc>
      </w:tr>
      <w:tr w14:paraId="1B5E13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3" w:hRule="atLeast"/>
        </w:trPr>
        <w:tc>
          <w:tcPr>
            <w:tcW w:w="494" w:type="dxa"/>
            <w:vAlign w:val="center"/>
          </w:tcPr>
          <w:p w14:paraId="18200F1C">
            <w:pPr>
              <w:spacing w:before="65" w:line="182" w:lineRule="auto"/>
              <w:ind w:left="185"/>
              <w:jc w:val="center"/>
              <w:rPr>
                <w:rFonts w:ascii="宋体" w:hAnsi="宋体" w:eastAsia="宋体" w:cs="宋体"/>
                <w:sz w:val="24"/>
              </w:rPr>
            </w:pPr>
            <w:r>
              <w:rPr>
                <w:rFonts w:hint="eastAsia" w:ascii="宋体" w:hAnsi="宋体" w:eastAsia="宋体" w:cs="宋体"/>
                <w:sz w:val="24"/>
              </w:rPr>
              <w:t>8</w:t>
            </w:r>
          </w:p>
        </w:tc>
        <w:tc>
          <w:tcPr>
            <w:tcW w:w="2577" w:type="dxa"/>
            <w:vAlign w:val="center"/>
          </w:tcPr>
          <w:p w14:paraId="532783B2">
            <w:pPr>
              <w:jc w:val="left"/>
              <w:rPr>
                <w:rFonts w:ascii="宋体" w:hAnsi="宋体" w:eastAsia="宋体" w:cs="宋体"/>
                <w:sz w:val="24"/>
              </w:rPr>
            </w:pPr>
            <w:r>
              <w:rPr>
                <w:rFonts w:hint="eastAsia" w:ascii="宋体" w:hAnsi="宋体" w:eastAsia="宋体" w:cs="宋体"/>
                <w:sz w:val="24"/>
              </w:rPr>
              <w:t>本项目的特定资格要求：</w:t>
            </w:r>
          </w:p>
          <w:p w14:paraId="20F05DF8">
            <w:pPr>
              <w:spacing w:line="249" w:lineRule="auto"/>
              <w:jc w:val="left"/>
              <w:rPr>
                <w:rFonts w:ascii="宋体" w:hAnsi="宋体" w:eastAsia="宋体" w:cs="宋体"/>
                <w:sz w:val="24"/>
              </w:rPr>
            </w:pPr>
          </w:p>
        </w:tc>
        <w:tc>
          <w:tcPr>
            <w:tcW w:w="6488" w:type="dxa"/>
            <w:vAlign w:val="center"/>
          </w:tcPr>
          <w:p w14:paraId="73B5A54A">
            <w:pPr>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（1）供应商具备工程监理综合资质或者市政公用工程乙级及以上监理资质；（提供资质证书原件扫描件）</w:t>
            </w:r>
          </w:p>
          <w:p w14:paraId="574A41F0">
            <w:pPr>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（2）拟选派项目总监理工程师资格：国家注册监理工程师（市政公用工程专业）；（提供执业资格证书和注册证书原件扫描件）</w:t>
            </w:r>
          </w:p>
          <w:p w14:paraId="48760780">
            <w:pPr>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（3）拟选派项目总监理工程师在镇江市行政区域内在建工程数量不超过</w:t>
            </w:r>
            <w:r>
              <w:rPr>
                <w:rFonts w:hint="eastAsia" w:ascii="宋体" w:hAnsi="宋体" w:eastAsia="宋体" w:cs="宋体"/>
                <w:sz w:val="24"/>
                <w:highlight w:val="none"/>
                <w:lang w:val="en-US" w:eastAsia="zh-CN"/>
              </w:rPr>
              <w:t>1</w:t>
            </w:r>
            <w:r>
              <w:rPr>
                <w:rFonts w:hint="eastAsia" w:ascii="宋体" w:hAnsi="宋体" w:eastAsia="宋体" w:cs="宋体"/>
                <w:sz w:val="24"/>
                <w:highlight w:val="none"/>
              </w:rPr>
              <w:t>个</w:t>
            </w:r>
            <w:r>
              <w:rPr>
                <w:rFonts w:hint="eastAsia" w:ascii="宋体" w:hAnsi="宋体" w:eastAsia="宋体" w:cs="宋体"/>
                <w:sz w:val="24"/>
                <w:highlight w:val="none"/>
                <w:lang w:eastAsia="zh-CN"/>
              </w:rPr>
              <w:t>，</w:t>
            </w:r>
            <w:r>
              <w:rPr>
                <w:rFonts w:hint="eastAsia" w:ascii="宋体" w:hAnsi="宋体" w:eastAsia="宋体" w:cs="宋体"/>
                <w:sz w:val="24"/>
                <w:highlight w:val="none"/>
              </w:rPr>
              <w:t>镇江市行政区域外不得有在建工程</w:t>
            </w:r>
            <w:r>
              <w:rPr>
                <w:rFonts w:hint="eastAsia" w:ascii="宋体" w:hAnsi="宋体" w:eastAsia="宋体" w:cs="宋体"/>
                <w:sz w:val="24"/>
                <w:highlight w:val="none"/>
                <w:lang w:eastAsia="zh-CN"/>
              </w:rPr>
              <w:t>。</w:t>
            </w:r>
            <w:r>
              <w:rPr>
                <w:rFonts w:hint="eastAsia" w:ascii="宋体" w:hAnsi="宋体" w:eastAsia="宋体" w:cs="宋体"/>
                <w:sz w:val="24"/>
                <w:highlight w:val="none"/>
              </w:rPr>
              <w:t xml:space="preserve"> </w:t>
            </w:r>
          </w:p>
          <w:p w14:paraId="10E3264F">
            <w:pPr>
              <w:jc w:val="left"/>
              <w:rPr>
                <w:rFonts w:ascii="宋体" w:hAnsi="宋体" w:eastAsia="宋体" w:cs="宋体"/>
                <w:sz w:val="24"/>
              </w:rPr>
            </w:pPr>
          </w:p>
        </w:tc>
      </w:tr>
    </w:tbl>
    <w:p w14:paraId="7214CFCB">
      <w:pPr>
        <w:rPr>
          <w:rFonts w:ascii="Arial"/>
        </w:rPr>
      </w:pPr>
    </w:p>
    <w:p w14:paraId="237488C6">
      <w:pPr>
        <w:pStyle w:val="3"/>
        <w:spacing w:line="360" w:lineRule="auto"/>
        <w:jc w:val="left"/>
      </w:pPr>
      <w:bookmarkStart w:id="149" w:name="_Toc211511483"/>
      <w:r>
        <w:rPr>
          <w:rFonts w:hint="eastAsia"/>
        </w:rPr>
        <w:t>四、磋商响应文件的有效性、完整性和响应程度审查</w:t>
      </w:r>
      <w:bookmarkEnd w:id="149"/>
    </w:p>
    <w:p w14:paraId="1AA430E7"/>
    <w:p w14:paraId="27F4DC38">
      <w:pPr>
        <w:spacing w:line="61" w:lineRule="exact"/>
      </w:pPr>
    </w:p>
    <w:tbl>
      <w:tblPr>
        <w:tblStyle w:val="31"/>
        <w:tblW w:w="95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14"/>
        <w:gridCol w:w="1228"/>
        <w:gridCol w:w="7817"/>
      </w:tblGrid>
      <w:tr w14:paraId="07A602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2" w:hRule="atLeast"/>
        </w:trPr>
        <w:tc>
          <w:tcPr>
            <w:tcW w:w="514" w:type="dxa"/>
            <w:textDirection w:val="tbRlV"/>
          </w:tcPr>
          <w:p w14:paraId="77B12310">
            <w:pPr>
              <w:jc w:val="center"/>
              <w:rPr>
                <w:rFonts w:ascii="宋体" w:hAnsi="宋体" w:eastAsia="宋体" w:cs="宋体"/>
                <w:sz w:val="24"/>
              </w:rPr>
            </w:pPr>
            <w:r>
              <w:rPr>
                <w:rFonts w:hint="eastAsia" w:ascii="宋体" w:hAnsi="宋体" w:eastAsia="宋体" w:cs="宋体"/>
                <w:sz w:val="24"/>
              </w:rPr>
              <w:t>序号</w:t>
            </w:r>
          </w:p>
        </w:tc>
        <w:tc>
          <w:tcPr>
            <w:tcW w:w="1228" w:type="dxa"/>
          </w:tcPr>
          <w:p w14:paraId="619B0B08">
            <w:pPr>
              <w:jc w:val="center"/>
              <w:rPr>
                <w:rFonts w:ascii="宋体" w:hAnsi="宋体" w:eastAsia="宋体" w:cs="宋体"/>
                <w:sz w:val="24"/>
              </w:rPr>
            </w:pPr>
          </w:p>
          <w:p w14:paraId="1403133E">
            <w:pPr>
              <w:jc w:val="center"/>
              <w:rPr>
                <w:rFonts w:ascii="宋体" w:hAnsi="宋体" w:eastAsia="宋体" w:cs="宋体"/>
                <w:sz w:val="24"/>
              </w:rPr>
            </w:pPr>
            <w:r>
              <w:rPr>
                <w:rFonts w:hint="eastAsia" w:ascii="宋体" w:hAnsi="宋体" w:eastAsia="宋体" w:cs="宋体"/>
                <w:sz w:val="24"/>
              </w:rPr>
              <w:t>审查要素</w:t>
            </w:r>
          </w:p>
        </w:tc>
        <w:tc>
          <w:tcPr>
            <w:tcW w:w="7817" w:type="dxa"/>
          </w:tcPr>
          <w:p w14:paraId="5505E320">
            <w:pPr>
              <w:jc w:val="center"/>
              <w:rPr>
                <w:rFonts w:ascii="宋体" w:hAnsi="宋体" w:eastAsia="宋体" w:cs="宋体"/>
                <w:sz w:val="24"/>
              </w:rPr>
            </w:pPr>
          </w:p>
          <w:p w14:paraId="5DE725E7">
            <w:pPr>
              <w:jc w:val="center"/>
              <w:rPr>
                <w:rFonts w:ascii="宋体" w:hAnsi="宋体" w:eastAsia="宋体" w:cs="宋体"/>
                <w:sz w:val="24"/>
              </w:rPr>
            </w:pPr>
            <w:r>
              <w:rPr>
                <w:rFonts w:hint="eastAsia" w:ascii="宋体" w:hAnsi="宋体" w:eastAsia="宋体" w:cs="宋体"/>
                <w:sz w:val="24"/>
              </w:rPr>
              <w:t>审查内容</w:t>
            </w:r>
          </w:p>
        </w:tc>
      </w:tr>
      <w:tr w14:paraId="508F13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8" w:hRule="atLeast"/>
        </w:trPr>
        <w:tc>
          <w:tcPr>
            <w:tcW w:w="514" w:type="dxa"/>
          </w:tcPr>
          <w:p w14:paraId="06BEDF89">
            <w:pPr>
              <w:spacing w:line="294" w:lineRule="auto"/>
              <w:rPr>
                <w:rFonts w:ascii="Arial"/>
              </w:rPr>
            </w:pPr>
          </w:p>
          <w:p w14:paraId="63923B79">
            <w:pPr>
              <w:spacing w:before="65" w:line="184" w:lineRule="auto"/>
              <w:ind w:left="195"/>
              <w:rPr>
                <w:rFonts w:ascii="宋体" w:hAnsi="宋体" w:eastAsia="宋体" w:cs="宋体"/>
                <w:sz w:val="20"/>
                <w:szCs w:val="20"/>
              </w:rPr>
            </w:pPr>
            <w:r>
              <w:rPr>
                <w:rFonts w:ascii="宋体" w:hAnsi="宋体" w:eastAsia="宋体" w:cs="宋体"/>
                <w:sz w:val="20"/>
                <w:szCs w:val="20"/>
              </w:rPr>
              <w:t>1</w:t>
            </w:r>
          </w:p>
        </w:tc>
        <w:tc>
          <w:tcPr>
            <w:tcW w:w="1228" w:type="dxa"/>
            <w:vAlign w:val="center"/>
          </w:tcPr>
          <w:p w14:paraId="7C006D57">
            <w:pPr>
              <w:jc w:val="center"/>
              <w:rPr>
                <w:rFonts w:ascii="宋体" w:hAnsi="宋体" w:eastAsia="宋体" w:cs="宋体"/>
                <w:sz w:val="24"/>
              </w:rPr>
            </w:pPr>
            <w:r>
              <w:rPr>
                <w:rFonts w:hint="eastAsia" w:ascii="宋体" w:hAnsi="宋体" w:eastAsia="宋体" w:cs="宋体"/>
                <w:sz w:val="24"/>
              </w:rPr>
              <w:t>响应文件有效性</w:t>
            </w:r>
          </w:p>
        </w:tc>
        <w:tc>
          <w:tcPr>
            <w:tcW w:w="7817" w:type="dxa"/>
          </w:tcPr>
          <w:p w14:paraId="376FA163">
            <w:pPr>
              <w:spacing w:before="139" w:line="266" w:lineRule="auto"/>
              <w:ind w:left="162" w:right="94"/>
              <w:rPr>
                <w:rFonts w:ascii="宋体" w:hAnsi="宋体" w:eastAsia="宋体" w:cs="宋体"/>
                <w:sz w:val="24"/>
              </w:rPr>
            </w:pPr>
            <w:r>
              <w:rPr>
                <w:rFonts w:hint="eastAsia" w:ascii="宋体" w:hAnsi="宋体" w:eastAsia="宋体" w:cs="宋体"/>
                <w:sz w:val="24"/>
              </w:rPr>
              <w:t>电子响应文件的有效电子签章。磋商报价。未发现属无效响应的其他情形。</w:t>
            </w:r>
          </w:p>
        </w:tc>
      </w:tr>
      <w:tr w14:paraId="55AF73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7" w:hRule="atLeast"/>
        </w:trPr>
        <w:tc>
          <w:tcPr>
            <w:tcW w:w="514" w:type="dxa"/>
          </w:tcPr>
          <w:p w14:paraId="1BE5587B">
            <w:pPr>
              <w:spacing w:line="297" w:lineRule="auto"/>
              <w:rPr>
                <w:rFonts w:ascii="Arial"/>
              </w:rPr>
            </w:pPr>
          </w:p>
          <w:p w14:paraId="48802DCA">
            <w:pPr>
              <w:spacing w:before="65" w:line="183" w:lineRule="auto"/>
              <w:ind w:left="195"/>
              <w:rPr>
                <w:rFonts w:ascii="宋体" w:hAnsi="宋体" w:eastAsia="宋体" w:cs="宋体"/>
                <w:sz w:val="20"/>
                <w:szCs w:val="20"/>
              </w:rPr>
            </w:pPr>
            <w:r>
              <w:rPr>
                <w:rFonts w:ascii="宋体" w:hAnsi="宋体" w:eastAsia="宋体" w:cs="宋体"/>
                <w:sz w:val="20"/>
                <w:szCs w:val="20"/>
              </w:rPr>
              <w:t>2</w:t>
            </w:r>
          </w:p>
        </w:tc>
        <w:tc>
          <w:tcPr>
            <w:tcW w:w="1228" w:type="dxa"/>
            <w:vAlign w:val="center"/>
          </w:tcPr>
          <w:p w14:paraId="786986AE">
            <w:pPr>
              <w:jc w:val="center"/>
              <w:rPr>
                <w:rFonts w:ascii="宋体" w:hAnsi="宋体" w:eastAsia="宋体" w:cs="宋体"/>
                <w:sz w:val="24"/>
              </w:rPr>
            </w:pPr>
            <w:r>
              <w:rPr>
                <w:rFonts w:hint="eastAsia" w:ascii="宋体" w:hAnsi="宋体" w:eastAsia="宋体" w:cs="宋体"/>
                <w:sz w:val="24"/>
              </w:rPr>
              <w:t>响应文件完整性</w:t>
            </w:r>
          </w:p>
        </w:tc>
        <w:tc>
          <w:tcPr>
            <w:tcW w:w="7817" w:type="dxa"/>
          </w:tcPr>
          <w:p w14:paraId="0360BB6C">
            <w:pPr>
              <w:spacing w:line="246" w:lineRule="auto"/>
              <w:rPr>
                <w:rFonts w:ascii="宋体" w:hAnsi="宋体" w:eastAsia="宋体" w:cs="宋体"/>
                <w:sz w:val="24"/>
              </w:rPr>
            </w:pPr>
          </w:p>
          <w:p w14:paraId="3102DB9A">
            <w:pPr>
              <w:spacing w:before="65" w:line="219" w:lineRule="auto"/>
              <w:ind w:left="2462"/>
              <w:rPr>
                <w:rFonts w:ascii="宋体" w:hAnsi="宋体" w:eastAsia="宋体" w:cs="宋体"/>
                <w:sz w:val="24"/>
              </w:rPr>
            </w:pPr>
            <w:r>
              <w:rPr>
                <w:rFonts w:hint="eastAsia" w:ascii="宋体" w:hAnsi="宋体" w:eastAsia="宋体" w:cs="宋体"/>
                <w:spacing w:val="7"/>
                <w:sz w:val="24"/>
              </w:rPr>
              <w:t>响应文件内容完整性、齐全性。</w:t>
            </w:r>
          </w:p>
        </w:tc>
      </w:tr>
      <w:tr w14:paraId="17AA3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2" w:hRule="atLeast"/>
        </w:trPr>
        <w:tc>
          <w:tcPr>
            <w:tcW w:w="514" w:type="dxa"/>
          </w:tcPr>
          <w:p w14:paraId="46F72C57">
            <w:pPr>
              <w:spacing w:line="459" w:lineRule="auto"/>
              <w:rPr>
                <w:rFonts w:ascii="Arial"/>
              </w:rPr>
            </w:pPr>
          </w:p>
          <w:p w14:paraId="136CDEEC">
            <w:pPr>
              <w:spacing w:before="65" w:line="183" w:lineRule="auto"/>
              <w:ind w:left="195"/>
              <w:rPr>
                <w:rFonts w:ascii="宋体" w:hAnsi="宋体" w:eastAsia="宋体" w:cs="宋体"/>
                <w:sz w:val="20"/>
                <w:szCs w:val="20"/>
              </w:rPr>
            </w:pPr>
            <w:r>
              <w:rPr>
                <w:rFonts w:ascii="宋体" w:hAnsi="宋体" w:eastAsia="宋体" w:cs="宋体"/>
                <w:sz w:val="20"/>
                <w:szCs w:val="20"/>
              </w:rPr>
              <w:t>3</w:t>
            </w:r>
          </w:p>
        </w:tc>
        <w:tc>
          <w:tcPr>
            <w:tcW w:w="1228" w:type="dxa"/>
            <w:vAlign w:val="center"/>
          </w:tcPr>
          <w:p w14:paraId="52B0CAFE">
            <w:pPr>
              <w:jc w:val="center"/>
              <w:rPr>
                <w:rFonts w:ascii="宋体" w:hAnsi="宋体" w:eastAsia="宋体" w:cs="宋体"/>
                <w:sz w:val="24"/>
              </w:rPr>
            </w:pPr>
            <w:r>
              <w:rPr>
                <w:rFonts w:hint="eastAsia" w:ascii="宋体" w:hAnsi="宋体" w:eastAsia="宋体" w:cs="宋体"/>
                <w:sz w:val="24"/>
              </w:rPr>
              <w:t>对磋商文</w:t>
            </w:r>
          </w:p>
          <w:p w14:paraId="63684225">
            <w:pPr>
              <w:jc w:val="center"/>
              <w:rPr>
                <w:rFonts w:ascii="宋体" w:hAnsi="宋体" w:eastAsia="宋体" w:cs="宋体"/>
                <w:sz w:val="24"/>
              </w:rPr>
            </w:pPr>
            <w:r>
              <w:rPr>
                <w:rFonts w:hint="eastAsia" w:ascii="宋体" w:hAnsi="宋体" w:eastAsia="宋体" w:cs="宋体"/>
                <w:sz w:val="24"/>
              </w:rPr>
              <w:t>件响应程</w:t>
            </w:r>
          </w:p>
          <w:p w14:paraId="31BE7769">
            <w:pPr>
              <w:jc w:val="center"/>
              <w:rPr>
                <w:rFonts w:ascii="宋体" w:hAnsi="宋体" w:eastAsia="宋体" w:cs="宋体"/>
                <w:sz w:val="24"/>
              </w:rPr>
            </w:pPr>
            <w:r>
              <w:rPr>
                <w:rFonts w:hint="eastAsia" w:ascii="宋体" w:hAnsi="宋体" w:eastAsia="宋体" w:cs="宋体"/>
                <w:sz w:val="24"/>
              </w:rPr>
              <w:t>度</w:t>
            </w:r>
          </w:p>
        </w:tc>
        <w:tc>
          <w:tcPr>
            <w:tcW w:w="7817" w:type="dxa"/>
          </w:tcPr>
          <w:p w14:paraId="72F7B52F">
            <w:pPr>
              <w:spacing w:line="258" w:lineRule="auto"/>
              <w:rPr>
                <w:rFonts w:ascii="宋体" w:hAnsi="宋体" w:eastAsia="宋体" w:cs="宋体"/>
                <w:sz w:val="24"/>
              </w:rPr>
            </w:pPr>
          </w:p>
          <w:p w14:paraId="23EEB533">
            <w:pPr>
              <w:spacing w:before="65" w:line="244" w:lineRule="auto"/>
              <w:ind w:left="3181" w:right="134" w:hanging="3019"/>
              <w:rPr>
                <w:rFonts w:ascii="宋体" w:hAnsi="宋体" w:eastAsia="宋体" w:cs="宋体"/>
                <w:sz w:val="24"/>
              </w:rPr>
            </w:pPr>
            <w:r>
              <w:rPr>
                <w:rFonts w:hint="eastAsia" w:ascii="宋体" w:hAnsi="宋体" w:eastAsia="宋体" w:cs="宋体"/>
                <w:spacing w:val="9"/>
                <w:sz w:val="24"/>
              </w:rPr>
              <w:t>审查响应文件与磋商文件要求的主要条款、条件</w:t>
            </w:r>
            <w:r>
              <w:rPr>
                <w:rFonts w:hint="eastAsia" w:ascii="宋体" w:hAnsi="宋体" w:eastAsia="宋体" w:cs="宋体"/>
                <w:spacing w:val="8"/>
                <w:sz w:val="24"/>
              </w:rPr>
              <w:t>和技术规格是否相符，是否存在重</w:t>
            </w:r>
            <w:r>
              <w:rPr>
                <w:rFonts w:hint="eastAsia" w:ascii="宋体" w:hAnsi="宋体" w:eastAsia="宋体" w:cs="宋体"/>
                <w:spacing w:val="19"/>
                <w:sz w:val="24"/>
              </w:rPr>
              <w:t>大偏离或保留</w:t>
            </w:r>
          </w:p>
        </w:tc>
      </w:tr>
    </w:tbl>
    <w:p w14:paraId="42699C6D">
      <w:pPr>
        <w:tabs>
          <w:tab w:val="left" w:pos="255"/>
        </w:tabs>
        <w:spacing w:before="78" w:line="354" w:lineRule="auto"/>
        <w:ind w:left="124" w:right="96" w:firstLine="500"/>
        <w:rPr>
          <w:rFonts w:ascii="宋体" w:hAnsi="宋体" w:eastAsia="宋体" w:cs="宋体"/>
          <w:sz w:val="24"/>
        </w:rPr>
      </w:pPr>
      <w:r>
        <w:rPr>
          <w:rFonts w:ascii="宋体" w:hAnsi="宋体" w:eastAsia="宋体" w:cs="宋体"/>
          <w:spacing w:val="-1"/>
          <w:sz w:val="24"/>
        </w:rPr>
        <w:t>审查磋商响应文件与磋商文件要求的主要条款、条件和技术规格是否相符，是否存在</w:t>
      </w:r>
      <w:r>
        <w:rPr>
          <w:rFonts w:ascii="宋体" w:hAnsi="宋体" w:eastAsia="宋体" w:cs="宋体"/>
          <w:spacing w:val="5"/>
          <w:sz w:val="24"/>
        </w:rPr>
        <w:t>重大偏离或保留。所谓重大偏离或保留系指影响到磋商文件规定的服务(货物)范围、质</w:t>
      </w:r>
      <w:r>
        <w:rPr>
          <w:rFonts w:ascii="宋体" w:hAnsi="宋体" w:eastAsia="宋体" w:cs="宋体"/>
          <w:spacing w:val="-2"/>
          <w:sz w:val="24"/>
        </w:rPr>
        <w:t>量和性能的，或者在实质上与磋商文件不一致，有限制采购人</w:t>
      </w:r>
      <w:r>
        <w:rPr>
          <w:rFonts w:ascii="宋体" w:hAnsi="宋体" w:eastAsia="宋体" w:cs="宋体"/>
          <w:spacing w:val="-3"/>
          <w:sz w:val="24"/>
        </w:rPr>
        <w:t>权利和供应商义务的规定，</w:t>
      </w:r>
      <w:r>
        <w:rPr>
          <w:rFonts w:ascii="宋体" w:hAnsi="宋体" w:eastAsia="宋体" w:cs="宋体"/>
          <w:spacing w:val="-1"/>
          <w:sz w:val="24"/>
        </w:rPr>
        <w:t>而纠正这些偏离或保留将会对其他实质上响应文件的供应商的</w:t>
      </w:r>
      <w:r>
        <w:rPr>
          <w:rFonts w:ascii="宋体" w:hAnsi="宋体" w:eastAsia="宋体" w:cs="宋体"/>
          <w:spacing w:val="-2"/>
          <w:sz w:val="24"/>
        </w:rPr>
        <w:t>竞争地位产生不公正的影响</w:t>
      </w:r>
      <w:r>
        <w:rPr>
          <w:rFonts w:ascii="宋体" w:hAnsi="宋体" w:eastAsia="宋体" w:cs="宋体"/>
          <w:sz w:val="24"/>
        </w:rPr>
        <w:tab/>
      </w:r>
      <w:r>
        <w:rPr>
          <w:rFonts w:ascii="宋体" w:hAnsi="宋体" w:eastAsia="宋体" w:cs="宋体"/>
          <w:spacing w:val="-4"/>
          <w:sz w:val="24"/>
        </w:rPr>
        <w:t>(重大偏离或保留的认定须经磋商小组半数以上同意)。磋商小组决定磋商响</w:t>
      </w:r>
      <w:r>
        <w:rPr>
          <w:rFonts w:ascii="宋体" w:hAnsi="宋体" w:eastAsia="宋体" w:cs="宋体"/>
          <w:spacing w:val="-5"/>
          <w:sz w:val="24"/>
        </w:rPr>
        <w:t>应文件的响应</w:t>
      </w:r>
    </w:p>
    <w:p w14:paraId="68A2D84A">
      <w:pPr>
        <w:spacing w:line="218" w:lineRule="auto"/>
        <w:ind w:left="124"/>
        <w:rPr>
          <w:rFonts w:ascii="宋体" w:hAnsi="宋体" w:eastAsia="宋体" w:cs="宋体"/>
          <w:sz w:val="24"/>
        </w:rPr>
      </w:pPr>
      <w:r>
        <w:rPr>
          <w:rFonts w:ascii="宋体" w:hAnsi="宋体" w:eastAsia="宋体" w:cs="宋体"/>
          <w:spacing w:val="-2"/>
          <w:sz w:val="24"/>
        </w:rPr>
        <w:t>性只根据磋商响应文件本身的内容，而不寻求外部的证据。</w:t>
      </w:r>
    </w:p>
    <w:p w14:paraId="4A506ECA">
      <w:pPr>
        <w:spacing w:line="241" w:lineRule="auto"/>
        <w:rPr>
          <w:rFonts w:ascii="Arial"/>
        </w:rPr>
      </w:pPr>
    </w:p>
    <w:p w14:paraId="0AB72868">
      <w:pPr>
        <w:pStyle w:val="3"/>
        <w:spacing w:line="360" w:lineRule="auto"/>
        <w:jc w:val="left"/>
      </w:pPr>
      <w:bookmarkStart w:id="150" w:name="_bookmark66"/>
      <w:bookmarkEnd w:id="150"/>
      <w:bookmarkStart w:id="151" w:name="_bookmark65"/>
      <w:bookmarkEnd w:id="151"/>
      <w:bookmarkStart w:id="152" w:name="_Toc211511484"/>
      <w:r>
        <w:rPr>
          <w:rFonts w:hint="eastAsia"/>
        </w:rPr>
        <w:t>五、磋商记录</w:t>
      </w:r>
      <w:bookmarkEnd w:id="152"/>
    </w:p>
    <w:p w14:paraId="2F95DC46">
      <w:pPr>
        <w:spacing w:line="252" w:lineRule="auto"/>
        <w:rPr>
          <w:rFonts w:ascii="Arial"/>
        </w:rPr>
      </w:pPr>
    </w:p>
    <w:p w14:paraId="23302FA4">
      <w:pPr>
        <w:spacing w:before="81" w:line="218" w:lineRule="auto"/>
        <w:ind w:left="614"/>
        <w:rPr>
          <w:rFonts w:ascii="宋体" w:hAnsi="宋体" w:eastAsia="宋体" w:cs="宋体"/>
          <w:sz w:val="25"/>
          <w:szCs w:val="25"/>
        </w:rPr>
      </w:pPr>
      <w:r>
        <w:rPr>
          <w:rFonts w:ascii="宋体" w:hAnsi="宋体" w:eastAsia="宋体" w:cs="宋体"/>
          <w:spacing w:val="-11"/>
          <w:sz w:val="25"/>
          <w:szCs w:val="25"/>
        </w:rPr>
        <w:t>5.1《磋商记录》包括供应商答复或承诺的内容、磋商文件的变动</w:t>
      </w:r>
      <w:r>
        <w:rPr>
          <w:rFonts w:ascii="宋体" w:hAnsi="宋体" w:eastAsia="宋体" w:cs="宋体"/>
          <w:spacing w:val="-12"/>
          <w:sz w:val="25"/>
          <w:szCs w:val="25"/>
        </w:rPr>
        <w:t>情况及最后报价等。</w:t>
      </w:r>
    </w:p>
    <w:p w14:paraId="0AA061A0">
      <w:pPr>
        <w:spacing w:line="257" w:lineRule="auto"/>
        <w:rPr>
          <w:rFonts w:ascii="Arial"/>
        </w:rPr>
      </w:pPr>
    </w:p>
    <w:p w14:paraId="45CDEFB2">
      <w:pPr>
        <w:pStyle w:val="3"/>
        <w:spacing w:line="360" w:lineRule="auto"/>
        <w:jc w:val="left"/>
      </w:pPr>
      <w:bookmarkStart w:id="153" w:name="_Toc211511485"/>
      <w:r>
        <w:rPr>
          <w:rFonts w:hint="eastAsia"/>
        </w:rPr>
        <w:t>六、综合评分</w:t>
      </w:r>
      <w:bookmarkEnd w:id="153"/>
    </w:p>
    <w:p w14:paraId="08715ED4">
      <w:pPr>
        <w:ind w:firstLine="480" w:firstLineChars="200"/>
        <w:rPr>
          <w:sz w:val="24"/>
        </w:rPr>
      </w:pPr>
      <w:bookmarkStart w:id="154" w:name="OLE_LINK3"/>
      <w:r>
        <w:rPr>
          <w:sz w:val="24"/>
        </w:rPr>
        <w:t>经磋商确定最终采购需求和提交最后报价的供应商后，磋商小组采用综合评分法对提</w:t>
      </w:r>
    </w:p>
    <w:p w14:paraId="1583071A">
      <w:pPr>
        <w:widowControl/>
        <w:spacing w:line="360" w:lineRule="auto"/>
        <w:ind w:firstLine="420"/>
        <w:jc w:val="left"/>
        <w:rPr>
          <w:sz w:val="24"/>
        </w:rPr>
      </w:pPr>
      <w:r>
        <w:rPr>
          <w:sz w:val="24"/>
        </w:rPr>
        <w:t>交最后报价的供应商的磋商响应文件和最后报价进行综合评分，总分100分。</w:t>
      </w:r>
    </w:p>
    <w:p w14:paraId="6EAD9810">
      <w:pPr>
        <w:widowControl/>
        <w:spacing w:line="360" w:lineRule="auto"/>
        <w:ind w:firstLine="420"/>
        <w:jc w:val="left"/>
        <w:rPr>
          <w:rFonts w:ascii="宋体" w:hAnsi="宋体" w:eastAsia="宋体" w:cs="宋体"/>
          <w:kern w:val="0"/>
          <w:sz w:val="24"/>
        </w:rPr>
      </w:pPr>
      <w:bookmarkStart w:id="155" w:name="OLE_LINK1"/>
      <w:r>
        <w:rPr>
          <w:rFonts w:hint="eastAsia" w:ascii="宋体" w:hAnsi="宋体" w:eastAsia="宋体" w:cs="宋体"/>
          <w:b/>
          <w:kern w:val="0"/>
          <w:sz w:val="24"/>
        </w:rPr>
        <w:t>本项目采用综合评分法。</w:t>
      </w:r>
    </w:p>
    <w:p w14:paraId="14AF7DCC">
      <w:pPr>
        <w:spacing w:before="19"/>
        <w:rPr>
          <w:rFonts w:ascii="宋体" w:hAnsi="宋体" w:eastAsia="宋体" w:cs="宋体"/>
          <w:kern w:val="0"/>
        </w:rPr>
      </w:pPr>
    </w:p>
    <w:tbl>
      <w:tblPr>
        <w:tblStyle w:val="24"/>
        <w:tblW w:w="953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218"/>
        <w:gridCol w:w="2214"/>
        <w:gridCol w:w="2216"/>
        <w:gridCol w:w="2889"/>
      </w:tblGrid>
      <w:tr w14:paraId="519384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6" w:hRule="atLeast"/>
        </w:trPr>
        <w:tc>
          <w:tcPr>
            <w:tcW w:w="2218" w:type="dxa"/>
          </w:tcPr>
          <w:p w14:paraId="2B79C8D0">
            <w:pPr>
              <w:spacing w:before="152" w:after="80" w:line="221" w:lineRule="auto"/>
              <w:ind w:left="647"/>
              <w:jc w:val="left"/>
              <w:rPr>
                <w:rFonts w:ascii="宋体" w:hAnsi="宋体" w:eastAsia="宋体" w:cs="宋体"/>
                <w:kern w:val="0"/>
                <w:sz w:val="24"/>
              </w:rPr>
            </w:pPr>
            <w:r>
              <w:rPr>
                <w:rFonts w:hint="eastAsia" w:ascii="宋体" w:hAnsi="宋体" w:eastAsia="宋体" w:cs="宋体"/>
                <w:spacing w:val="-1"/>
                <w:kern w:val="0"/>
                <w:sz w:val="24"/>
              </w:rPr>
              <w:t>评分项目</w:t>
            </w:r>
          </w:p>
        </w:tc>
        <w:tc>
          <w:tcPr>
            <w:tcW w:w="2214" w:type="dxa"/>
          </w:tcPr>
          <w:p w14:paraId="7A1994E6">
            <w:pPr>
              <w:spacing w:before="152" w:after="80" w:line="219" w:lineRule="auto"/>
              <w:ind w:left="649"/>
              <w:jc w:val="left"/>
              <w:rPr>
                <w:rFonts w:ascii="宋体" w:hAnsi="宋体" w:eastAsia="宋体" w:cs="宋体"/>
                <w:kern w:val="0"/>
                <w:sz w:val="24"/>
              </w:rPr>
            </w:pPr>
            <w:r>
              <w:rPr>
                <w:rFonts w:hint="eastAsia" w:ascii="宋体" w:hAnsi="宋体" w:eastAsia="宋体" w:cs="宋体"/>
                <w:spacing w:val="-2"/>
                <w:kern w:val="0"/>
                <w:sz w:val="24"/>
              </w:rPr>
              <w:t>技术评估</w:t>
            </w:r>
          </w:p>
        </w:tc>
        <w:tc>
          <w:tcPr>
            <w:tcW w:w="2216" w:type="dxa"/>
          </w:tcPr>
          <w:p w14:paraId="42722461">
            <w:pPr>
              <w:spacing w:before="152" w:after="80" w:line="219" w:lineRule="auto"/>
              <w:ind w:left="656"/>
              <w:jc w:val="left"/>
              <w:rPr>
                <w:rFonts w:ascii="宋体" w:hAnsi="宋体" w:eastAsia="宋体" w:cs="宋体"/>
                <w:kern w:val="0"/>
                <w:sz w:val="24"/>
              </w:rPr>
            </w:pPr>
            <w:r>
              <w:rPr>
                <w:rFonts w:hint="eastAsia" w:ascii="宋体" w:hAnsi="宋体" w:eastAsia="宋体" w:cs="宋体"/>
                <w:spacing w:val="-3"/>
                <w:kern w:val="0"/>
                <w:sz w:val="24"/>
              </w:rPr>
              <w:t>商务评估</w:t>
            </w:r>
          </w:p>
        </w:tc>
        <w:tc>
          <w:tcPr>
            <w:tcW w:w="2889" w:type="dxa"/>
          </w:tcPr>
          <w:p w14:paraId="2FEA7B93">
            <w:pPr>
              <w:spacing w:before="152" w:after="80" w:line="219" w:lineRule="auto"/>
              <w:ind w:left="654"/>
              <w:jc w:val="left"/>
              <w:rPr>
                <w:rFonts w:ascii="宋体" w:hAnsi="宋体" w:eastAsia="宋体" w:cs="宋体"/>
                <w:kern w:val="0"/>
                <w:sz w:val="24"/>
              </w:rPr>
            </w:pPr>
            <w:r>
              <w:rPr>
                <w:rFonts w:hint="eastAsia" w:ascii="宋体" w:hAnsi="宋体" w:eastAsia="宋体" w:cs="宋体"/>
                <w:spacing w:val="-2"/>
                <w:kern w:val="0"/>
                <w:sz w:val="24"/>
              </w:rPr>
              <w:t>价格评估</w:t>
            </w:r>
          </w:p>
        </w:tc>
      </w:tr>
      <w:tr w14:paraId="00B9F2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2218" w:type="dxa"/>
          </w:tcPr>
          <w:p w14:paraId="2342A105">
            <w:pPr>
              <w:spacing w:before="151" w:after="80" w:line="221" w:lineRule="auto"/>
              <w:ind w:left="862"/>
              <w:jc w:val="left"/>
              <w:rPr>
                <w:rFonts w:ascii="宋体" w:hAnsi="宋体" w:eastAsia="宋体" w:cs="宋体"/>
                <w:kern w:val="0"/>
                <w:sz w:val="24"/>
              </w:rPr>
            </w:pPr>
            <w:r>
              <w:rPr>
                <w:rFonts w:hint="eastAsia" w:ascii="宋体" w:hAnsi="宋体" w:eastAsia="宋体" w:cs="宋体"/>
                <w:spacing w:val="-3"/>
                <w:kern w:val="0"/>
                <w:sz w:val="24"/>
              </w:rPr>
              <w:t>分值</w:t>
            </w:r>
          </w:p>
        </w:tc>
        <w:tc>
          <w:tcPr>
            <w:tcW w:w="2214" w:type="dxa"/>
          </w:tcPr>
          <w:p w14:paraId="4E27FB28">
            <w:pPr>
              <w:spacing w:before="186" w:after="80" w:line="183" w:lineRule="auto"/>
              <w:ind w:left="811"/>
              <w:jc w:val="left"/>
              <w:rPr>
                <w:rFonts w:ascii="宋体" w:hAnsi="宋体" w:eastAsia="宋体" w:cs="宋体"/>
                <w:kern w:val="0"/>
                <w:sz w:val="24"/>
              </w:rPr>
            </w:pPr>
            <w:r>
              <w:rPr>
                <w:rFonts w:hint="eastAsia" w:ascii="宋体" w:hAnsi="宋体" w:eastAsia="宋体" w:cs="宋体"/>
                <w:spacing w:val="-2"/>
                <w:kern w:val="0"/>
                <w:sz w:val="24"/>
              </w:rPr>
              <w:t>55.00</w:t>
            </w:r>
          </w:p>
        </w:tc>
        <w:tc>
          <w:tcPr>
            <w:tcW w:w="2216" w:type="dxa"/>
          </w:tcPr>
          <w:p w14:paraId="6EDB0C2A">
            <w:pPr>
              <w:spacing w:before="187" w:after="80" w:line="182" w:lineRule="auto"/>
              <w:ind w:left="812"/>
              <w:jc w:val="left"/>
              <w:rPr>
                <w:rFonts w:ascii="宋体" w:hAnsi="宋体" w:eastAsia="宋体" w:cs="宋体"/>
                <w:kern w:val="0"/>
                <w:sz w:val="24"/>
              </w:rPr>
            </w:pPr>
            <w:r>
              <w:rPr>
                <w:rFonts w:hint="eastAsia" w:ascii="宋体" w:hAnsi="宋体" w:eastAsia="宋体" w:cs="宋体"/>
                <w:spacing w:val="-2"/>
                <w:kern w:val="0"/>
                <w:sz w:val="24"/>
              </w:rPr>
              <w:t>25.00</w:t>
            </w:r>
          </w:p>
        </w:tc>
        <w:tc>
          <w:tcPr>
            <w:tcW w:w="2889" w:type="dxa"/>
          </w:tcPr>
          <w:p w14:paraId="646E90E8">
            <w:pPr>
              <w:spacing w:before="186" w:after="80" w:line="183" w:lineRule="auto"/>
              <w:ind w:left="824"/>
              <w:jc w:val="left"/>
              <w:rPr>
                <w:rFonts w:ascii="宋体" w:hAnsi="宋体" w:eastAsia="宋体" w:cs="宋体"/>
                <w:kern w:val="0"/>
                <w:sz w:val="24"/>
              </w:rPr>
            </w:pPr>
            <w:r>
              <w:rPr>
                <w:rFonts w:hint="eastAsia" w:ascii="宋体" w:hAnsi="宋体" w:eastAsia="宋体" w:cs="宋体"/>
                <w:spacing w:val="-4"/>
                <w:kern w:val="0"/>
                <w:sz w:val="24"/>
              </w:rPr>
              <w:t>20.00</w:t>
            </w:r>
          </w:p>
        </w:tc>
      </w:tr>
    </w:tbl>
    <w:p w14:paraId="789D652C">
      <w:pPr>
        <w:spacing w:line="250" w:lineRule="auto"/>
        <w:rPr>
          <w:rFonts w:ascii="宋体" w:hAnsi="宋体" w:eastAsia="宋体" w:cs="宋体"/>
          <w:kern w:val="0"/>
          <w:sz w:val="28"/>
          <w:szCs w:val="22"/>
        </w:rPr>
      </w:pPr>
    </w:p>
    <w:p w14:paraId="493F37A8">
      <w:pPr>
        <w:spacing w:before="78" w:line="218" w:lineRule="auto"/>
        <w:rPr>
          <w:rFonts w:ascii="宋体" w:hAnsi="宋体" w:eastAsia="宋体" w:cs="宋体"/>
          <w:b/>
          <w:bCs/>
          <w:spacing w:val="-2"/>
          <w:kern w:val="0"/>
          <w:sz w:val="24"/>
        </w:rPr>
      </w:pPr>
    </w:p>
    <w:p w14:paraId="1946F1FD">
      <w:pPr>
        <w:spacing w:before="78" w:line="218" w:lineRule="auto"/>
        <w:rPr>
          <w:rFonts w:ascii="宋体" w:hAnsi="宋体" w:eastAsia="宋体" w:cs="宋体"/>
          <w:b/>
          <w:bCs/>
          <w:kern w:val="0"/>
          <w:sz w:val="24"/>
        </w:rPr>
      </w:pPr>
      <w:r>
        <w:rPr>
          <w:rFonts w:hint="eastAsia" w:ascii="宋体" w:hAnsi="宋体" w:eastAsia="宋体" w:cs="宋体"/>
          <w:b/>
          <w:bCs/>
          <w:spacing w:val="-2"/>
          <w:kern w:val="0"/>
          <w:sz w:val="24"/>
        </w:rPr>
        <w:t>（一）技术评估</w:t>
      </w:r>
    </w:p>
    <w:tbl>
      <w:tblPr>
        <w:tblStyle w:val="2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734"/>
        <w:gridCol w:w="1288"/>
        <w:gridCol w:w="7040"/>
        <w:gridCol w:w="734"/>
      </w:tblGrid>
      <w:tr w14:paraId="595B0C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34" w:type="dxa"/>
            <w:tcMar>
              <w:top w:w="100" w:type="dxa"/>
              <w:bottom w:w="100" w:type="dxa"/>
            </w:tcMar>
            <w:vAlign w:val="center"/>
          </w:tcPr>
          <w:p w14:paraId="51BE351A">
            <w:pPr>
              <w:widowControl/>
              <w:jc w:val="center"/>
              <w:rPr>
                <w:rFonts w:ascii="宋体" w:hAnsi="宋体" w:eastAsia="宋体" w:cs="宋体"/>
                <w:kern w:val="0"/>
                <w:sz w:val="24"/>
                <w:lang w:eastAsia="en-US"/>
              </w:rPr>
            </w:pPr>
            <w:r>
              <w:rPr>
                <w:rFonts w:hint="eastAsia" w:ascii="宋体" w:hAnsi="宋体" w:eastAsia="宋体" w:cs="宋体"/>
                <w:kern w:val="0"/>
                <w:sz w:val="24"/>
                <w:lang w:eastAsia="en-US"/>
              </w:rPr>
              <w:t>序号</w:t>
            </w:r>
          </w:p>
        </w:tc>
        <w:tc>
          <w:tcPr>
            <w:tcW w:w="1288" w:type="dxa"/>
            <w:tcMar>
              <w:top w:w="100" w:type="dxa"/>
              <w:bottom w:w="100" w:type="dxa"/>
            </w:tcMar>
            <w:vAlign w:val="center"/>
          </w:tcPr>
          <w:p w14:paraId="0907F726">
            <w:pPr>
              <w:widowControl/>
              <w:jc w:val="center"/>
              <w:rPr>
                <w:rFonts w:ascii="宋体" w:hAnsi="宋体" w:eastAsia="宋体" w:cs="宋体"/>
                <w:kern w:val="0"/>
                <w:sz w:val="24"/>
                <w:lang w:eastAsia="en-US"/>
              </w:rPr>
            </w:pPr>
            <w:r>
              <w:rPr>
                <w:rFonts w:hint="eastAsia" w:ascii="宋体" w:hAnsi="宋体" w:eastAsia="宋体" w:cs="宋体"/>
                <w:kern w:val="0"/>
                <w:sz w:val="24"/>
                <w:lang w:eastAsia="en-US"/>
              </w:rPr>
              <w:t>评审因素</w:t>
            </w:r>
          </w:p>
        </w:tc>
        <w:tc>
          <w:tcPr>
            <w:tcW w:w="7040" w:type="dxa"/>
            <w:tcMar>
              <w:top w:w="100" w:type="dxa"/>
              <w:bottom w:w="100" w:type="dxa"/>
            </w:tcMar>
            <w:vAlign w:val="center"/>
          </w:tcPr>
          <w:p w14:paraId="11A111F9">
            <w:pPr>
              <w:widowControl/>
              <w:jc w:val="center"/>
              <w:rPr>
                <w:rFonts w:ascii="宋体" w:hAnsi="宋体" w:eastAsia="宋体" w:cs="宋体"/>
                <w:kern w:val="0"/>
                <w:sz w:val="24"/>
                <w:lang w:eastAsia="en-US"/>
              </w:rPr>
            </w:pPr>
            <w:r>
              <w:rPr>
                <w:rFonts w:hint="eastAsia" w:ascii="宋体" w:hAnsi="宋体" w:eastAsia="宋体" w:cs="宋体"/>
                <w:kern w:val="0"/>
                <w:sz w:val="24"/>
                <w:lang w:eastAsia="en-US"/>
              </w:rPr>
              <w:t>评审细则</w:t>
            </w:r>
          </w:p>
        </w:tc>
        <w:tc>
          <w:tcPr>
            <w:tcW w:w="734" w:type="dxa"/>
            <w:tcMar>
              <w:top w:w="100" w:type="dxa"/>
              <w:bottom w:w="100" w:type="dxa"/>
            </w:tcMar>
            <w:vAlign w:val="center"/>
          </w:tcPr>
          <w:p w14:paraId="6B3B3487">
            <w:pPr>
              <w:widowControl/>
              <w:jc w:val="center"/>
              <w:rPr>
                <w:rFonts w:ascii="宋体" w:hAnsi="宋体" w:eastAsia="宋体" w:cs="宋体"/>
                <w:kern w:val="0"/>
                <w:sz w:val="24"/>
                <w:lang w:eastAsia="en-US"/>
              </w:rPr>
            </w:pPr>
            <w:r>
              <w:rPr>
                <w:rFonts w:hint="eastAsia" w:ascii="宋体" w:hAnsi="宋体" w:eastAsia="宋体" w:cs="宋体"/>
                <w:kern w:val="0"/>
                <w:sz w:val="24"/>
                <w:lang w:eastAsia="en-US"/>
              </w:rPr>
              <w:t>分值</w:t>
            </w:r>
          </w:p>
        </w:tc>
      </w:tr>
      <w:tr w14:paraId="146CA0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062" w:type="dxa"/>
            <w:gridSpan w:val="3"/>
            <w:tcMar>
              <w:top w:w="100" w:type="dxa"/>
              <w:bottom w:w="100" w:type="dxa"/>
            </w:tcMar>
            <w:vAlign w:val="center"/>
          </w:tcPr>
          <w:p w14:paraId="14F3466E">
            <w:pPr>
              <w:widowControl/>
              <w:jc w:val="center"/>
              <w:rPr>
                <w:rFonts w:ascii="宋体" w:hAnsi="宋体" w:eastAsia="宋体" w:cs="宋体"/>
                <w:kern w:val="0"/>
                <w:sz w:val="24"/>
                <w:lang w:eastAsia="en-US"/>
              </w:rPr>
            </w:pPr>
            <w:r>
              <w:rPr>
                <w:rFonts w:hint="eastAsia" w:ascii="宋体" w:hAnsi="宋体" w:eastAsia="宋体" w:cs="宋体"/>
                <w:kern w:val="0"/>
                <w:sz w:val="24"/>
                <w:lang w:eastAsia="en-US"/>
              </w:rPr>
              <w:t>技术或者服务水平</w:t>
            </w:r>
          </w:p>
        </w:tc>
        <w:tc>
          <w:tcPr>
            <w:tcW w:w="734" w:type="dxa"/>
            <w:tcMar>
              <w:top w:w="100" w:type="dxa"/>
              <w:bottom w:w="100" w:type="dxa"/>
            </w:tcMar>
            <w:vAlign w:val="center"/>
          </w:tcPr>
          <w:p w14:paraId="53E1B1BE">
            <w:pPr>
              <w:widowControl/>
              <w:jc w:val="center"/>
              <w:rPr>
                <w:rFonts w:ascii="宋体" w:hAnsi="宋体" w:eastAsia="宋体" w:cs="宋体"/>
                <w:kern w:val="0"/>
                <w:sz w:val="24"/>
                <w:lang w:eastAsia="en-US"/>
              </w:rPr>
            </w:pPr>
            <w:r>
              <w:rPr>
                <w:rFonts w:hint="eastAsia" w:ascii="宋体" w:hAnsi="宋体" w:eastAsia="宋体" w:cs="宋体"/>
                <w:kern w:val="0"/>
                <w:sz w:val="24"/>
              </w:rPr>
              <w:t>55</w:t>
            </w:r>
            <w:r>
              <w:rPr>
                <w:rFonts w:hint="eastAsia" w:ascii="宋体" w:hAnsi="宋体" w:eastAsia="宋体" w:cs="宋体"/>
                <w:kern w:val="0"/>
                <w:sz w:val="24"/>
                <w:lang w:eastAsia="en-US"/>
              </w:rPr>
              <w:t>.0</w:t>
            </w:r>
          </w:p>
        </w:tc>
      </w:tr>
      <w:tr w14:paraId="02EDD2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34" w:type="dxa"/>
            <w:tcMar>
              <w:top w:w="100" w:type="dxa"/>
              <w:bottom w:w="100" w:type="dxa"/>
            </w:tcMar>
            <w:vAlign w:val="center"/>
          </w:tcPr>
          <w:p w14:paraId="264EF22F">
            <w:pPr>
              <w:widowControl/>
              <w:jc w:val="center"/>
              <w:rPr>
                <w:rFonts w:ascii="宋体" w:hAnsi="宋体" w:eastAsia="宋体" w:cs="宋体"/>
                <w:kern w:val="0"/>
                <w:sz w:val="24"/>
                <w:lang w:eastAsia="en-US"/>
              </w:rPr>
            </w:pPr>
            <w:r>
              <w:rPr>
                <w:rFonts w:hint="eastAsia" w:ascii="宋体" w:hAnsi="宋体" w:eastAsia="宋体" w:cs="宋体"/>
                <w:kern w:val="0"/>
                <w:sz w:val="24"/>
                <w:lang w:eastAsia="en-US"/>
              </w:rPr>
              <w:t>1.1</w:t>
            </w:r>
          </w:p>
        </w:tc>
        <w:tc>
          <w:tcPr>
            <w:tcW w:w="1288" w:type="dxa"/>
            <w:tcMar>
              <w:top w:w="100" w:type="dxa"/>
              <w:bottom w:w="100" w:type="dxa"/>
            </w:tcMar>
            <w:vAlign w:val="center"/>
          </w:tcPr>
          <w:p w14:paraId="3DADB5BD">
            <w:pPr>
              <w:widowControl/>
              <w:jc w:val="center"/>
              <w:rPr>
                <w:rFonts w:ascii="宋体" w:hAnsi="宋体" w:eastAsia="宋体" w:cs="宋体"/>
                <w:kern w:val="0"/>
                <w:sz w:val="24"/>
                <w:lang w:eastAsia="en-US"/>
              </w:rPr>
            </w:pPr>
            <w:bookmarkStart w:id="156" w:name="OLE_LINK2"/>
            <w:r>
              <w:rPr>
                <w:rFonts w:hint="eastAsia" w:ascii="宋体" w:hAnsi="宋体" w:eastAsia="宋体" w:cs="宋体"/>
                <w:kern w:val="0"/>
                <w:sz w:val="24"/>
                <w:lang w:eastAsia="en-US"/>
              </w:rPr>
              <w:t>工程概况</w:t>
            </w:r>
            <w:bookmarkEnd w:id="156"/>
          </w:p>
        </w:tc>
        <w:tc>
          <w:tcPr>
            <w:tcW w:w="7040" w:type="dxa"/>
            <w:tcMar>
              <w:top w:w="100" w:type="dxa"/>
              <w:bottom w:w="100" w:type="dxa"/>
            </w:tcMar>
            <w:vAlign w:val="center"/>
          </w:tcPr>
          <w:p w14:paraId="4C21E422">
            <w:pPr>
              <w:widowControl/>
              <w:jc w:val="left"/>
              <w:rPr>
                <w:rFonts w:ascii="宋体" w:hAnsi="宋体" w:eastAsia="宋体" w:cs="宋体"/>
                <w:kern w:val="0"/>
                <w:sz w:val="24"/>
              </w:rPr>
            </w:pPr>
            <w:r>
              <w:rPr>
                <w:rFonts w:hint="eastAsia" w:ascii="宋体" w:hAnsi="宋体" w:eastAsia="宋体" w:cs="宋体"/>
                <w:kern w:val="0"/>
                <w:sz w:val="24"/>
              </w:rPr>
              <w:t>针对本项目的特点，结合供应商提供的工程概况进行评审，满足磋商文件要求的得2分，不提供不得分。提供的方案准确无误，现场状况描述清晰的加2分，方案涉及的监理专业范围及特点阐述全面、准确，对项目特点、有前瞻性的加2分。</w:t>
            </w:r>
          </w:p>
        </w:tc>
        <w:tc>
          <w:tcPr>
            <w:tcW w:w="734" w:type="dxa"/>
            <w:tcMar>
              <w:top w:w="100" w:type="dxa"/>
              <w:bottom w:w="100" w:type="dxa"/>
            </w:tcMar>
            <w:vAlign w:val="center"/>
          </w:tcPr>
          <w:p w14:paraId="4B39C956">
            <w:pPr>
              <w:widowControl/>
              <w:jc w:val="center"/>
              <w:rPr>
                <w:rFonts w:ascii="宋体" w:hAnsi="宋体" w:eastAsia="宋体" w:cs="宋体"/>
                <w:kern w:val="0"/>
              </w:rPr>
            </w:pPr>
            <w:r>
              <w:rPr>
                <w:rFonts w:hint="eastAsia" w:ascii="宋体" w:hAnsi="宋体" w:eastAsia="宋体" w:cs="宋体"/>
                <w:kern w:val="0"/>
              </w:rPr>
              <w:t>6.0</w:t>
            </w:r>
          </w:p>
        </w:tc>
      </w:tr>
      <w:tr w14:paraId="57131F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34" w:type="dxa"/>
            <w:tcMar>
              <w:top w:w="100" w:type="dxa"/>
              <w:bottom w:w="100" w:type="dxa"/>
            </w:tcMar>
            <w:vAlign w:val="center"/>
          </w:tcPr>
          <w:p w14:paraId="789FB5C0">
            <w:pPr>
              <w:widowControl/>
              <w:jc w:val="center"/>
              <w:rPr>
                <w:rFonts w:ascii="宋体" w:hAnsi="宋体" w:eastAsia="宋体" w:cs="宋体"/>
                <w:kern w:val="0"/>
                <w:sz w:val="24"/>
                <w:lang w:eastAsia="en-US"/>
              </w:rPr>
            </w:pPr>
            <w:r>
              <w:rPr>
                <w:rFonts w:hint="eastAsia" w:ascii="宋体" w:hAnsi="宋体" w:eastAsia="宋体" w:cs="宋体"/>
                <w:kern w:val="0"/>
                <w:sz w:val="24"/>
                <w:lang w:eastAsia="en-US"/>
              </w:rPr>
              <w:t>1.2</w:t>
            </w:r>
          </w:p>
        </w:tc>
        <w:tc>
          <w:tcPr>
            <w:tcW w:w="1288" w:type="dxa"/>
            <w:tcMar>
              <w:top w:w="100" w:type="dxa"/>
              <w:bottom w:w="100" w:type="dxa"/>
            </w:tcMar>
            <w:vAlign w:val="center"/>
          </w:tcPr>
          <w:p w14:paraId="220C8B14">
            <w:pPr>
              <w:widowControl/>
              <w:jc w:val="center"/>
              <w:rPr>
                <w:rFonts w:ascii="宋体" w:hAnsi="宋体" w:eastAsia="宋体" w:cs="宋体"/>
                <w:kern w:val="0"/>
                <w:sz w:val="24"/>
                <w:lang w:eastAsia="en-US"/>
              </w:rPr>
            </w:pPr>
            <w:r>
              <w:rPr>
                <w:rFonts w:hint="eastAsia" w:ascii="宋体" w:hAnsi="宋体" w:eastAsia="宋体" w:cs="宋体"/>
                <w:kern w:val="0"/>
                <w:sz w:val="24"/>
                <w:lang w:eastAsia="en-US"/>
              </w:rPr>
              <w:t>质量控制方案</w:t>
            </w:r>
          </w:p>
        </w:tc>
        <w:tc>
          <w:tcPr>
            <w:tcW w:w="7040" w:type="dxa"/>
            <w:tcMar>
              <w:top w:w="100" w:type="dxa"/>
              <w:bottom w:w="100" w:type="dxa"/>
            </w:tcMar>
            <w:vAlign w:val="center"/>
          </w:tcPr>
          <w:p w14:paraId="56404047">
            <w:pPr>
              <w:widowControl/>
              <w:jc w:val="left"/>
              <w:rPr>
                <w:rFonts w:ascii="宋体" w:hAnsi="宋体" w:eastAsia="宋体" w:cs="宋体"/>
                <w:kern w:val="0"/>
                <w:sz w:val="24"/>
              </w:rPr>
            </w:pPr>
            <w:r>
              <w:rPr>
                <w:rFonts w:hint="eastAsia" w:ascii="宋体" w:hAnsi="宋体" w:eastAsia="宋体" w:cs="宋体"/>
                <w:kern w:val="0"/>
                <w:sz w:val="24"/>
              </w:rPr>
              <w:t>针对本项目的特点，结合供应商提供的质量控制方案进行评审，方案内容满足磋商文件要求的得2分，不提供不得分。提供的</w:t>
            </w:r>
            <w:r>
              <w:rPr>
                <w:rFonts w:ascii="宋体" w:hAnsi="宋体" w:eastAsia="宋体" w:cs="宋体"/>
                <w:kern w:val="0"/>
                <w:sz w:val="24"/>
              </w:rPr>
              <w:t>关键工序质量控制措施具体、有针对性，明确验收标准和方法</w:t>
            </w:r>
            <w:r>
              <w:rPr>
                <w:rFonts w:hint="eastAsia" w:ascii="宋体" w:hAnsi="宋体" w:eastAsia="宋体" w:cs="宋体"/>
                <w:kern w:val="0"/>
                <w:sz w:val="24"/>
              </w:rPr>
              <w:t>的加2分，提供的</w:t>
            </w:r>
            <w:r>
              <w:rPr>
                <w:rFonts w:ascii="宋体" w:hAnsi="宋体" w:eastAsia="宋体" w:cs="宋体"/>
                <w:kern w:val="0"/>
                <w:sz w:val="24"/>
              </w:rPr>
              <w:t>针对常见及潜在质量问题有完善的预防、检测、处理及反馈流程，责任到人，可操作性强</w:t>
            </w:r>
            <w:r>
              <w:rPr>
                <w:rFonts w:hint="eastAsia" w:ascii="宋体" w:hAnsi="宋体" w:eastAsia="宋体" w:cs="宋体"/>
                <w:kern w:val="0"/>
                <w:sz w:val="24"/>
              </w:rPr>
              <w:t>的加2分。</w:t>
            </w:r>
          </w:p>
        </w:tc>
        <w:tc>
          <w:tcPr>
            <w:tcW w:w="734" w:type="dxa"/>
            <w:tcMar>
              <w:top w:w="100" w:type="dxa"/>
              <w:bottom w:w="100" w:type="dxa"/>
            </w:tcMar>
            <w:vAlign w:val="center"/>
          </w:tcPr>
          <w:p w14:paraId="79EEBE9A">
            <w:pPr>
              <w:jc w:val="center"/>
              <w:rPr>
                <w:rFonts w:ascii="宋体" w:hAnsi="宋体" w:eastAsia="宋体" w:cs="宋体"/>
                <w:kern w:val="0"/>
              </w:rPr>
            </w:pPr>
            <w:r>
              <w:rPr>
                <w:rFonts w:hint="eastAsia" w:ascii="宋体" w:hAnsi="宋体" w:eastAsia="宋体" w:cs="宋体"/>
                <w:kern w:val="0"/>
              </w:rPr>
              <w:t>6.0</w:t>
            </w:r>
          </w:p>
        </w:tc>
      </w:tr>
      <w:tr w14:paraId="720FC6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34" w:type="dxa"/>
            <w:tcMar>
              <w:top w:w="100" w:type="dxa"/>
              <w:bottom w:w="100" w:type="dxa"/>
            </w:tcMar>
            <w:vAlign w:val="center"/>
          </w:tcPr>
          <w:p w14:paraId="13B96BBA">
            <w:pPr>
              <w:widowControl/>
              <w:jc w:val="center"/>
              <w:rPr>
                <w:rFonts w:ascii="宋体" w:hAnsi="宋体" w:eastAsia="宋体" w:cs="宋体"/>
                <w:kern w:val="0"/>
                <w:sz w:val="24"/>
              </w:rPr>
            </w:pPr>
            <w:r>
              <w:rPr>
                <w:rFonts w:hint="eastAsia" w:ascii="宋体" w:hAnsi="宋体" w:eastAsia="宋体" w:cs="宋体"/>
                <w:kern w:val="0"/>
                <w:sz w:val="24"/>
              </w:rPr>
              <w:t>1.3</w:t>
            </w:r>
          </w:p>
        </w:tc>
        <w:tc>
          <w:tcPr>
            <w:tcW w:w="1288" w:type="dxa"/>
            <w:tcMar>
              <w:top w:w="100" w:type="dxa"/>
              <w:bottom w:w="100" w:type="dxa"/>
            </w:tcMar>
            <w:vAlign w:val="center"/>
          </w:tcPr>
          <w:p w14:paraId="4B667245">
            <w:pPr>
              <w:widowControl/>
              <w:jc w:val="center"/>
              <w:rPr>
                <w:rFonts w:ascii="宋体" w:hAnsi="宋体" w:eastAsia="宋体" w:cs="宋体"/>
                <w:kern w:val="0"/>
                <w:sz w:val="24"/>
                <w:lang w:eastAsia="en-US"/>
              </w:rPr>
            </w:pPr>
            <w:r>
              <w:rPr>
                <w:rFonts w:hint="eastAsia" w:ascii="宋体" w:hAnsi="宋体" w:eastAsia="宋体" w:cs="宋体"/>
                <w:kern w:val="0"/>
                <w:sz w:val="24"/>
                <w:lang w:eastAsia="en-US"/>
              </w:rPr>
              <w:t>进度控制方案</w:t>
            </w:r>
          </w:p>
        </w:tc>
        <w:tc>
          <w:tcPr>
            <w:tcW w:w="7040" w:type="dxa"/>
            <w:tcMar>
              <w:top w:w="100" w:type="dxa"/>
              <w:bottom w:w="100" w:type="dxa"/>
            </w:tcMar>
            <w:vAlign w:val="center"/>
          </w:tcPr>
          <w:p w14:paraId="343AA7A5">
            <w:pPr>
              <w:widowControl/>
              <w:jc w:val="left"/>
              <w:rPr>
                <w:rFonts w:ascii="宋体" w:hAnsi="宋体" w:eastAsia="宋体" w:cs="宋体"/>
                <w:kern w:val="0"/>
                <w:sz w:val="24"/>
              </w:rPr>
            </w:pPr>
            <w:r>
              <w:rPr>
                <w:rFonts w:hint="eastAsia" w:ascii="宋体" w:hAnsi="宋体" w:eastAsia="宋体" w:cs="宋体"/>
                <w:kern w:val="0"/>
                <w:sz w:val="24"/>
              </w:rPr>
              <w:t>针对本项目的特点，结合供应商提供的进度控制方案进行评审。方案内容满足磋商文件要求的得2分，不提供不得分。提供的</w:t>
            </w:r>
            <w:r>
              <w:rPr>
                <w:rFonts w:ascii="宋体" w:hAnsi="宋体" w:eastAsia="宋体" w:cs="宋体"/>
                <w:kern w:val="0"/>
                <w:sz w:val="24"/>
              </w:rPr>
              <w:t>进度控制方法与措施，方法全面（如含动态监控、对比分析、预警机制），措施具体得力，针对性强，能有效减少工期延期</w:t>
            </w:r>
            <w:r>
              <w:rPr>
                <w:rFonts w:hint="eastAsia" w:ascii="宋体" w:hAnsi="宋体" w:eastAsia="宋体" w:cs="宋体"/>
                <w:kern w:val="0"/>
                <w:sz w:val="24"/>
              </w:rPr>
              <w:t>的加2分。提供</w:t>
            </w:r>
            <w:r>
              <w:rPr>
                <w:rFonts w:ascii="宋体" w:hAnsi="宋体" w:eastAsia="宋体" w:cs="宋体"/>
                <w:kern w:val="0"/>
                <w:sz w:val="24"/>
              </w:rPr>
              <w:t>进度保证体系与风险应对方案，</w:t>
            </w:r>
            <w:r>
              <w:rPr>
                <w:rFonts w:hint="eastAsia" w:ascii="宋体" w:hAnsi="宋体" w:eastAsia="宋体" w:cs="宋体"/>
                <w:kern w:val="0"/>
                <w:sz w:val="24"/>
              </w:rPr>
              <w:t>保障体系健全，责任明确；风险分析全面，应对预案周全，有处理突发事件的机制的加2</w:t>
            </w:r>
            <w:r>
              <w:rPr>
                <w:rFonts w:ascii="宋体" w:hAnsi="宋体" w:eastAsia="宋体" w:cs="宋体"/>
                <w:kern w:val="0"/>
                <w:sz w:val="24"/>
              </w:rPr>
              <w:t>分。</w:t>
            </w:r>
          </w:p>
        </w:tc>
        <w:tc>
          <w:tcPr>
            <w:tcW w:w="734" w:type="dxa"/>
            <w:tcMar>
              <w:top w:w="100" w:type="dxa"/>
              <w:bottom w:w="100" w:type="dxa"/>
            </w:tcMar>
            <w:vAlign w:val="center"/>
          </w:tcPr>
          <w:p w14:paraId="493E31F8">
            <w:pPr>
              <w:jc w:val="center"/>
              <w:rPr>
                <w:rFonts w:ascii="宋体" w:hAnsi="宋体" w:eastAsia="宋体" w:cs="宋体"/>
                <w:kern w:val="0"/>
              </w:rPr>
            </w:pPr>
            <w:r>
              <w:rPr>
                <w:rFonts w:hint="eastAsia" w:ascii="宋体" w:hAnsi="宋体" w:eastAsia="宋体" w:cs="宋体"/>
                <w:kern w:val="0"/>
              </w:rPr>
              <w:t>6.0</w:t>
            </w:r>
          </w:p>
        </w:tc>
      </w:tr>
      <w:tr w14:paraId="338DEF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34" w:type="dxa"/>
            <w:tcMar>
              <w:top w:w="100" w:type="dxa"/>
              <w:bottom w:w="100" w:type="dxa"/>
            </w:tcMar>
            <w:vAlign w:val="center"/>
          </w:tcPr>
          <w:p w14:paraId="623CC49A">
            <w:pPr>
              <w:widowControl/>
              <w:jc w:val="center"/>
              <w:rPr>
                <w:rFonts w:ascii="宋体" w:hAnsi="宋体" w:eastAsia="宋体" w:cs="宋体"/>
                <w:kern w:val="0"/>
                <w:sz w:val="24"/>
              </w:rPr>
            </w:pPr>
            <w:r>
              <w:rPr>
                <w:rFonts w:hint="eastAsia" w:ascii="宋体" w:hAnsi="宋体" w:eastAsia="宋体" w:cs="宋体"/>
                <w:kern w:val="0"/>
                <w:sz w:val="24"/>
              </w:rPr>
              <w:t>1.4</w:t>
            </w:r>
          </w:p>
        </w:tc>
        <w:tc>
          <w:tcPr>
            <w:tcW w:w="1288" w:type="dxa"/>
            <w:tcMar>
              <w:top w:w="100" w:type="dxa"/>
              <w:bottom w:w="100" w:type="dxa"/>
            </w:tcMar>
            <w:vAlign w:val="center"/>
          </w:tcPr>
          <w:p w14:paraId="504F22FC">
            <w:pPr>
              <w:widowControl/>
              <w:jc w:val="center"/>
              <w:rPr>
                <w:rFonts w:ascii="宋体" w:hAnsi="宋体" w:eastAsia="宋体" w:cs="宋体"/>
                <w:kern w:val="0"/>
                <w:sz w:val="24"/>
              </w:rPr>
            </w:pPr>
            <w:r>
              <w:rPr>
                <w:rFonts w:hint="eastAsia" w:ascii="宋体" w:hAnsi="宋体" w:eastAsia="宋体" w:cs="宋体"/>
                <w:kern w:val="0"/>
                <w:sz w:val="24"/>
              </w:rPr>
              <w:t>投资控制方案</w:t>
            </w:r>
          </w:p>
        </w:tc>
        <w:tc>
          <w:tcPr>
            <w:tcW w:w="7040" w:type="dxa"/>
            <w:tcMar>
              <w:top w:w="100" w:type="dxa"/>
              <w:bottom w:w="100" w:type="dxa"/>
            </w:tcMar>
            <w:vAlign w:val="center"/>
          </w:tcPr>
          <w:p w14:paraId="06FDEBA0">
            <w:pPr>
              <w:widowControl/>
              <w:jc w:val="left"/>
              <w:rPr>
                <w:rFonts w:ascii="宋体" w:hAnsi="宋体" w:eastAsia="宋体" w:cs="宋体"/>
                <w:kern w:val="0"/>
                <w:sz w:val="24"/>
              </w:rPr>
            </w:pPr>
            <w:r>
              <w:rPr>
                <w:rFonts w:hint="eastAsia" w:ascii="宋体" w:hAnsi="宋体" w:eastAsia="宋体" w:cs="宋体"/>
                <w:kern w:val="0"/>
                <w:sz w:val="24"/>
              </w:rPr>
              <w:t>针对本项目的特点，结合供应商提供的投资控制方案进行评审。方案内容满足磋商文件要求的得2分，不提供不得分。提供的</w:t>
            </w:r>
            <w:r>
              <w:rPr>
                <w:rFonts w:ascii="宋体" w:hAnsi="宋体" w:eastAsia="宋体" w:cs="宋体"/>
                <w:kern w:val="0"/>
                <w:sz w:val="24"/>
              </w:rPr>
              <w:t>工程款支付审核与控制方案，</w:t>
            </w:r>
            <w:r>
              <w:rPr>
                <w:rFonts w:hint="eastAsia" w:ascii="宋体" w:hAnsi="宋体" w:eastAsia="宋体" w:cs="宋体"/>
                <w:kern w:val="0"/>
                <w:sz w:val="24"/>
              </w:rPr>
              <w:t>审核流程清晰、时限明确，重点控制措施得力（如严审工程量、变更价款等），能有效减少超付风险的加2</w:t>
            </w:r>
            <w:r>
              <w:rPr>
                <w:rFonts w:ascii="宋体" w:hAnsi="宋体" w:eastAsia="宋体" w:cs="宋体"/>
                <w:kern w:val="0"/>
                <w:sz w:val="24"/>
              </w:rPr>
              <w:t>分。</w:t>
            </w:r>
            <w:r>
              <w:rPr>
                <w:rFonts w:hint="eastAsia" w:ascii="宋体" w:hAnsi="宋体" w:eastAsia="宋体" w:cs="宋体"/>
                <w:kern w:val="0"/>
                <w:sz w:val="24"/>
              </w:rPr>
              <w:t>提供的</w:t>
            </w:r>
            <w:r>
              <w:rPr>
                <w:rFonts w:ascii="宋体" w:hAnsi="宋体" w:eastAsia="宋体" w:cs="宋体"/>
                <w:kern w:val="0"/>
                <w:sz w:val="24"/>
              </w:rPr>
              <w:t>工程变更与索赔管理：变更审核程序严格，价、量审核要点清晰；索赔管理原则明确，处理方法合理，能有效控制投资增加</w:t>
            </w:r>
            <w:r>
              <w:rPr>
                <w:rFonts w:hint="eastAsia" w:ascii="宋体" w:hAnsi="宋体" w:eastAsia="宋体" w:cs="宋体"/>
                <w:kern w:val="0"/>
                <w:sz w:val="24"/>
              </w:rPr>
              <w:t>的加2分。</w:t>
            </w:r>
          </w:p>
        </w:tc>
        <w:tc>
          <w:tcPr>
            <w:tcW w:w="734" w:type="dxa"/>
            <w:tcMar>
              <w:top w:w="100" w:type="dxa"/>
              <w:bottom w:w="100" w:type="dxa"/>
            </w:tcMar>
            <w:vAlign w:val="center"/>
          </w:tcPr>
          <w:p w14:paraId="564516F1">
            <w:pPr>
              <w:jc w:val="center"/>
              <w:rPr>
                <w:rFonts w:ascii="宋体" w:hAnsi="宋体" w:eastAsia="宋体" w:cs="宋体"/>
                <w:kern w:val="0"/>
              </w:rPr>
            </w:pPr>
            <w:r>
              <w:rPr>
                <w:rFonts w:hint="eastAsia" w:ascii="宋体" w:hAnsi="宋体" w:eastAsia="宋体" w:cs="宋体"/>
                <w:kern w:val="0"/>
              </w:rPr>
              <w:t>6.0</w:t>
            </w:r>
          </w:p>
        </w:tc>
      </w:tr>
      <w:tr w14:paraId="4FFFF8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34" w:type="dxa"/>
            <w:tcMar>
              <w:top w:w="100" w:type="dxa"/>
              <w:bottom w:w="100" w:type="dxa"/>
            </w:tcMar>
            <w:vAlign w:val="center"/>
          </w:tcPr>
          <w:p w14:paraId="673438B3">
            <w:pPr>
              <w:widowControl/>
              <w:jc w:val="center"/>
              <w:rPr>
                <w:rFonts w:ascii="宋体" w:hAnsi="宋体" w:eastAsia="宋体" w:cs="宋体"/>
                <w:kern w:val="0"/>
                <w:sz w:val="24"/>
              </w:rPr>
            </w:pPr>
            <w:r>
              <w:rPr>
                <w:rFonts w:hint="eastAsia" w:ascii="宋体" w:hAnsi="宋体" w:eastAsia="宋体" w:cs="宋体"/>
                <w:kern w:val="0"/>
                <w:sz w:val="24"/>
                <w:lang w:eastAsia="en-US"/>
              </w:rPr>
              <w:t>1.</w:t>
            </w:r>
            <w:r>
              <w:rPr>
                <w:rFonts w:hint="eastAsia" w:ascii="宋体" w:hAnsi="宋体" w:eastAsia="宋体" w:cs="宋体"/>
                <w:kern w:val="0"/>
                <w:sz w:val="24"/>
              </w:rPr>
              <w:t>5</w:t>
            </w:r>
          </w:p>
        </w:tc>
        <w:tc>
          <w:tcPr>
            <w:tcW w:w="1288" w:type="dxa"/>
            <w:tcMar>
              <w:top w:w="100" w:type="dxa"/>
              <w:bottom w:w="100" w:type="dxa"/>
            </w:tcMar>
            <w:vAlign w:val="center"/>
          </w:tcPr>
          <w:p w14:paraId="59700697">
            <w:pPr>
              <w:widowControl/>
              <w:jc w:val="center"/>
              <w:rPr>
                <w:rFonts w:ascii="宋体" w:hAnsi="宋体" w:eastAsia="宋体" w:cs="宋体"/>
                <w:kern w:val="0"/>
                <w:sz w:val="24"/>
                <w:lang w:eastAsia="en-US"/>
              </w:rPr>
            </w:pPr>
            <w:r>
              <w:rPr>
                <w:rFonts w:hint="eastAsia" w:ascii="宋体" w:hAnsi="宋体" w:eastAsia="宋体" w:cs="宋体"/>
                <w:kern w:val="0"/>
                <w:sz w:val="24"/>
                <w:lang w:eastAsia="en-US"/>
              </w:rPr>
              <w:t>安全文明控制方案</w:t>
            </w:r>
          </w:p>
        </w:tc>
        <w:tc>
          <w:tcPr>
            <w:tcW w:w="7040" w:type="dxa"/>
            <w:tcMar>
              <w:top w:w="100" w:type="dxa"/>
              <w:bottom w:w="100" w:type="dxa"/>
            </w:tcMar>
          </w:tcPr>
          <w:p w14:paraId="39B9A759">
            <w:pPr>
              <w:widowControl/>
              <w:jc w:val="left"/>
              <w:rPr>
                <w:rFonts w:ascii="宋体" w:hAnsi="宋体" w:eastAsia="宋体" w:cs="宋体"/>
                <w:kern w:val="0"/>
                <w:sz w:val="24"/>
              </w:rPr>
            </w:pPr>
            <w:r>
              <w:rPr>
                <w:rFonts w:hint="eastAsia" w:ascii="宋体" w:hAnsi="宋体" w:eastAsia="宋体" w:cs="宋体"/>
                <w:kern w:val="0"/>
                <w:sz w:val="24"/>
              </w:rPr>
              <w:t>针对本项目的特点，结合供应商提供的安全文明控制方案进行评审。方案内容满足磋商文件要求的得2分，不提供不得分。提供的安</w:t>
            </w:r>
            <w:r>
              <w:rPr>
                <w:rFonts w:ascii="宋体" w:hAnsi="宋体" w:eastAsia="宋体" w:cs="宋体"/>
                <w:kern w:val="0"/>
                <w:sz w:val="24"/>
              </w:rPr>
              <w:t>全文明监理方案与细则：规划中安全</w:t>
            </w:r>
            <w:r>
              <w:rPr>
                <w:rFonts w:hint="eastAsia" w:ascii="宋体" w:hAnsi="宋体" w:eastAsia="宋体" w:cs="宋体"/>
                <w:kern w:val="0"/>
                <w:sz w:val="24"/>
              </w:rPr>
              <w:t>文明</w:t>
            </w:r>
            <w:r>
              <w:rPr>
                <w:rFonts w:ascii="宋体" w:hAnsi="宋体" w:eastAsia="宋体" w:cs="宋体"/>
                <w:kern w:val="0"/>
                <w:sz w:val="24"/>
              </w:rPr>
              <w:t>监理方案内容全面；对危险性较大工程单独编制了针对性强、内容详实的监理实施细则</w:t>
            </w:r>
            <w:r>
              <w:rPr>
                <w:rFonts w:hint="eastAsia" w:ascii="宋体" w:hAnsi="宋体" w:eastAsia="宋体" w:cs="宋体"/>
                <w:kern w:val="0"/>
                <w:sz w:val="24"/>
              </w:rPr>
              <w:t>的加2分</w:t>
            </w:r>
            <w:r>
              <w:rPr>
                <w:rFonts w:ascii="宋体" w:hAnsi="宋体" w:eastAsia="宋体" w:cs="宋体"/>
                <w:kern w:val="0"/>
                <w:sz w:val="24"/>
              </w:rPr>
              <w:t>。</w:t>
            </w:r>
            <w:r>
              <w:rPr>
                <w:rFonts w:hint="eastAsia" w:ascii="宋体" w:hAnsi="宋体" w:eastAsia="宋体" w:cs="宋体"/>
                <w:kern w:val="0"/>
                <w:sz w:val="24"/>
              </w:rPr>
              <w:t>提供的</w:t>
            </w:r>
            <w:r>
              <w:rPr>
                <w:rFonts w:ascii="宋体" w:hAnsi="宋体" w:eastAsia="宋体" w:cs="宋体"/>
                <w:kern w:val="0"/>
                <w:sz w:val="24"/>
              </w:rPr>
              <w:t>现场安全文明监督与检查</w:t>
            </w:r>
            <w:r>
              <w:rPr>
                <w:rFonts w:hint="eastAsia" w:ascii="宋体" w:hAnsi="宋体" w:eastAsia="宋体" w:cs="宋体"/>
                <w:kern w:val="0"/>
                <w:sz w:val="24"/>
              </w:rPr>
              <w:t>：</w:t>
            </w:r>
            <w:r>
              <w:rPr>
                <w:rFonts w:ascii="宋体" w:hAnsi="宋体" w:eastAsia="宋体" w:cs="宋体"/>
                <w:kern w:val="0"/>
                <w:sz w:val="24"/>
              </w:rPr>
              <w:t>定期巡视、检查记录齐全；能有效发现并处置隐患（如发通知单、必要时下停工令）；对整改情况及时复查</w:t>
            </w:r>
            <w:r>
              <w:rPr>
                <w:rFonts w:hint="eastAsia" w:ascii="宋体" w:hAnsi="宋体" w:eastAsia="宋体" w:cs="宋体"/>
                <w:kern w:val="0"/>
                <w:sz w:val="24"/>
              </w:rPr>
              <w:t>的加2分。</w:t>
            </w:r>
          </w:p>
        </w:tc>
        <w:tc>
          <w:tcPr>
            <w:tcW w:w="734" w:type="dxa"/>
            <w:tcMar>
              <w:top w:w="100" w:type="dxa"/>
              <w:bottom w:w="100" w:type="dxa"/>
            </w:tcMar>
            <w:vAlign w:val="center"/>
          </w:tcPr>
          <w:p w14:paraId="2255C8AA">
            <w:pPr>
              <w:jc w:val="center"/>
              <w:rPr>
                <w:rFonts w:ascii="宋体" w:hAnsi="宋体" w:eastAsia="宋体" w:cs="宋体"/>
                <w:kern w:val="0"/>
              </w:rPr>
            </w:pPr>
            <w:r>
              <w:rPr>
                <w:rFonts w:hint="eastAsia" w:ascii="宋体" w:hAnsi="宋体" w:eastAsia="宋体" w:cs="宋体"/>
                <w:kern w:val="0"/>
              </w:rPr>
              <w:t>6.0</w:t>
            </w:r>
          </w:p>
        </w:tc>
      </w:tr>
      <w:tr w14:paraId="751FC9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34" w:type="dxa"/>
            <w:tcMar>
              <w:top w:w="100" w:type="dxa"/>
              <w:bottom w:w="100" w:type="dxa"/>
            </w:tcMar>
            <w:vAlign w:val="center"/>
          </w:tcPr>
          <w:p w14:paraId="29F0F36E">
            <w:pPr>
              <w:widowControl/>
              <w:jc w:val="center"/>
              <w:rPr>
                <w:rFonts w:ascii="宋体" w:hAnsi="宋体" w:eastAsia="宋体" w:cs="宋体"/>
                <w:kern w:val="0"/>
                <w:sz w:val="24"/>
              </w:rPr>
            </w:pPr>
            <w:r>
              <w:rPr>
                <w:rFonts w:hint="eastAsia" w:ascii="宋体" w:hAnsi="宋体" w:eastAsia="宋体" w:cs="宋体"/>
                <w:kern w:val="0"/>
                <w:sz w:val="24"/>
              </w:rPr>
              <w:t>1.6</w:t>
            </w:r>
          </w:p>
        </w:tc>
        <w:tc>
          <w:tcPr>
            <w:tcW w:w="1288" w:type="dxa"/>
            <w:tcMar>
              <w:top w:w="100" w:type="dxa"/>
              <w:bottom w:w="100" w:type="dxa"/>
            </w:tcMar>
            <w:vAlign w:val="center"/>
          </w:tcPr>
          <w:p w14:paraId="1BB78161">
            <w:pPr>
              <w:widowControl/>
              <w:jc w:val="center"/>
              <w:rPr>
                <w:rFonts w:ascii="宋体" w:hAnsi="宋体" w:eastAsia="宋体" w:cs="宋体"/>
                <w:kern w:val="0"/>
                <w:sz w:val="24"/>
                <w:lang w:eastAsia="en-US"/>
              </w:rPr>
            </w:pPr>
            <w:r>
              <w:rPr>
                <w:rFonts w:hint="eastAsia" w:ascii="宋体" w:hAnsi="宋体" w:eastAsia="宋体" w:cs="宋体"/>
                <w:kern w:val="0"/>
                <w:sz w:val="24"/>
                <w:lang w:eastAsia="en-US"/>
              </w:rPr>
              <w:t>合同管理控制方案</w:t>
            </w:r>
          </w:p>
        </w:tc>
        <w:tc>
          <w:tcPr>
            <w:tcW w:w="7040" w:type="dxa"/>
            <w:tcMar>
              <w:top w:w="100" w:type="dxa"/>
              <w:bottom w:w="100" w:type="dxa"/>
            </w:tcMar>
          </w:tcPr>
          <w:p w14:paraId="69EB257A">
            <w:pPr>
              <w:widowControl/>
              <w:jc w:val="left"/>
              <w:rPr>
                <w:rFonts w:ascii="宋体" w:hAnsi="宋体" w:eastAsia="宋体" w:cs="宋体"/>
                <w:kern w:val="0"/>
                <w:sz w:val="24"/>
              </w:rPr>
            </w:pPr>
            <w:r>
              <w:rPr>
                <w:rFonts w:hint="eastAsia" w:ascii="宋体" w:hAnsi="宋体" w:eastAsia="宋体" w:cs="宋体"/>
                <w:kern w:val="0"/>
                <w:sz w:val="24"/>
              </w:rPr>
              <w:t>针对本项目的特点，结合供应商提供的合同管理控制方案进行评审。方案内容满足磋商文件要求的得2分，不提供不得分。提供的</w:t>
            </w:r>
            <w:r>
              <w:rPr>
                <w:rFonts w:ascii="宋体" w:hAnsi="宋体" w:eastAsia="宋体" w:cs="宋体"/>
                <w:kern w:val="0"/>
                <w:sz w:val="24"/>
              </w:rPr>
              <w:t>合同执行监控与履约管理：对合同履行情况进行动态跟踪监控，及时纠偏；对合同变更、索赔处理有严格、清晰的管理程序</w:t>
            </w:r>
            <w:r>
              <w:rPr>
                <w:rFonts w:hint="eastAsia" w:ascii="宋体" w:hAnsi="宋体" w:eastAsia="宋体" w:cs="宋体"/>
                <w:kern w:val="0"/>
                <w:sz w:val="24"/>
              </w:rPr>
              <w:t>的加2分。</w:t>
            </w:r>
          </w:p>
        </w:tc>
        <w:tc>
          <w:tcPr>
            <w:tcW w:w="734" w:type="dxa"/>
            <w:tcMar>
              <w:top w:w="100" w:type="dxa"/>
              <w:bottom w:w="100" w:type="dxa"/>
            </w:tcMar>
            <w:vAlign w:val="center"/>
          </w:tcPr>
          <w:p w14:paraId="7D099ED8">
            <w:pPr>
              <w:widowControl/>
              <w:jc w:val="center"/>
              <w:rPr>
                <w:rFonts w:ascii="宋体" w:hAnsi="宋体" w:eastAsia="宋体" w:cs="宋体"/>
                <w:kern w:val="0"/>
              </w:rPr>
            </w:pPr>
            <w:r>
              <w:rPr>
                <w:rFonts w:hint="eastAsia" w:ascii="宋体" w:hAnsi="宋体" w:eastAsia="宋体" w:cs="宋体"/>
                <w:kern w:val="0"/>
              </w:rPr>
              <w:t>4.0</w:t>
            </w:r>
          </w:p>
        </w:tc>
      </w:tr>
      <w:tr w14:paraId="5AD98E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34" w:type="dxa"/>
            <w:tcMar>
              <w:top w:w="100" w:type="dxa"/>
              <w:bottom w:w="100" w:type="dxa"/>
            </w:tcMar>
            <w:vAlign w:val="center"/>
          </w:tcPr>
          <w:p w14:paraId="5F7DE428">
            <w:pPr>
              <w:widowControl/>
              <w:jc w:val="center"/>
              <w:rPr>
                <w:rFonts w:ascii="宋体" w:hAnsi="宋体" w:eastAsia="宋体" w:cs="宋体"/>
                <w:kern w:val="0"/>
                <w:sz w:val="24"/>
              </w:rPr>
            </w:pPr>
            <w:r>
              <w:rPr>
                <w:rFonts w:hint="eastAsia" w:ascii="宋体" w:hAnsi="宋体" w:eastAsia="宋体" w:cs="宋体"/>
                <w:kern w:val="0"/>
                <w:sz w:val="24"/>
              </w:rPr>
              <w:t>1.7</w:t>
            </w:r>
          </w:p>
        </w:tc>
        <w:tc>
          <w:tcPr>
            <w:tcW w:w="1288" w:type="dxa"/>
            <w:tcMar>
              <w:top w:w="100" w:type="dxa"/>
              <w:bottom w:w="100" w:type="dxa"/>
            </w:tcMar>
            <w:vAlign w:val="center"/>
          </w:tcPr>
          <w:p w14:paraId="7BA6C2D8">
            <w:pPr>
              <w:widowControl/>
              <w:jc w:val="center"/>
              <w:rPr>
                <w:rFonts w:ascii="宋体" w:hAnsi="宋体" w:eastAsia="宋体" w:cs="宋体"/>
                <w:kern w:val="0"/>
                <w:sz w:val="24"/>
                <w:lang w:eastAsia="en-US"/>
              </w:rPr>
            </w:pPr>
            <w:r>
              <w:rPr>
                <w:rFonts w:hint="eastAsia" w:ascii="宋体" w:hAnsi="宋体" w:eastAsia="宋体" w:cs="宋体"/>
                <w:kern w:val="0"/>
                <w:sz w:val="24"/>
                <w:lang w:eastAsia="en-US"/>
              </w:rPr>
              <w:t>信息管理控制方案</w:t>
            </w:r>
          </w:p>
        </w:tc>
        <w:tc>
          <w:tcPr>
            <w:tcW w:w="7040" w:type="dxa"/>
            <w:tcMar>
              <w:top w:w="100" w:type="dxa"/>
              <w:bottom w:w="100" w:type="dxa"/>
            </w:tcMar>
          </w:tcPr>
          <w:p w14:paraId="478DE363">
            <w:pPr>
              <w:widowControl/>
              <w:jc w:val="left"/>
              <w:rPr>
                <w:rFonts w:ascii="宋体" w:hAnsi="宋体" w:eastAsia="宋体" w:cs="宋体"/>
                <w:kern w:val="0"/>
                <w:sz w:val="24"/>
              </w:rPr>
            </w:pPr>
            <w:r>
              <w:rPr>
                <w:rFonts w:hint="eastAsia" w:ascii="宋体" w:hAnsi="宋体" w:eastAsia="宋体" w:cs="宋体"/>
                <w:kern w:val="0"/>
                <w:sz w:val="24"/>
              </w:rPr>
              <w:t>针对本项目的特点，结合供应商提供的信息管理控制方案进行评审。方案内容满足磋商文件要求的得2分，不提供不得分。</w:t>
            </w:r>
            <w:r>
              <w:rPr>
                <w:rFonts w:ascii="宋体" w:hAnsi="宋体" w:eastAsia="宋体" w:cs="宋体"/>
                <w:kern w:val="0"/>
                <w:sz w:val="24"/>
              </w:rPr>
              <w:t>信息收集渠道明确，内容全面</w:t>
            </w:r>
            <w:r>
              <w:rPr>
                <w:rFonts w:hint="eastAsia" w:ascii="宋体" w:hAnsi="宋体" w:eastAsia="宋体" w:cs="宋体"/>
                <w:kern w:val="0"/>
                <w:sz w:val="24"/>
              </w:rPr>
              <w:t>，</w:t>
            </w:r>
            <w:r>
              <w:rPr>
                <w:rFonts w:ascii="宋体" w:hAnsi="宋体" w:eastAsia="宋体" w:cs="宋体"/>
                <w:kern w:val="0"/>
                <w:sz w:val="24"/>
              </w:rPr>
              <w:t>文档分类科学，合同信息管理与信息管理方案结合紧密，台账清晰，变更与支付等关键合同信息的管理流程严谨</w:t>
            </w:r>
            <w:r>
              <w:rPr>
                <w:rFonts w:hint="eastAsia" w:ascii="宋体" w:hAnsi="宋体" w:eastAsia="宋体" w:cs="宋体"/>
                <w:kern w:val="0"/>
                <w:sz w:val="24"/>
              </w:rPr>
              <w:t>的加2分。</w:t>
            </w:r>
          </w:p>
        </w:tc>
        <w:tc>
          <w:tcPr>
            <w:tcW w:w="734" w:type="dxa"/>
            <w:tcMar>
              <w:top w:w="100" w:type="dxa"/>
              <w:bottom w:w="100" w:type="dxa"/>
            </w:tcMar>
            <w:vAlign w:val="center"/>
          </w:tcPr>
          <w:p w14:paraId="29591DD0">
            <w:pPr>
              <w:widowControl/>
              <w:jc w:val="center"/>
              <w:rPr>
                <w:rFonts w:ascii="宋体" w:hAnsi="宋体" w:eastAsia="宋体" w:cs="宋体"/>
                <w:kern w:val="0"/>
              </w:rPr>
            </w:pPr>
            <w:r>
              <w:rPr>
                <w:rFonts w:hint="eastAsia" w:ascii="宋体" w:hAnsi="宋体" w:eastAsia="宋体" w:cs="宋体"/>
                <w:kern w:val="0"/>
              </w:rPr>
              <w:t>4.0</w:t>
            </w:r>
          </w:p>
        </w:tc>
      </w:tr>
      <w:tr w14:paraId="445B1F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34" w:type="dxa"/>
            <w:tcMar>
              <w:top w:w="100" w:type="dxa"/>
              <w:bottom w:w="100" w:type="dxa"/>
            </w:tcMar>
            <w:vAlign w:val="center"/>
          </w:tcPr>
          <w:p w14:paraId="672A77BC">
            <w:pPr>
              <w:widowControl/>
              <w:jc w:val="center"/>
              <w:rPr>
                <w:rFonts w:ascii="宋体" w:hAnsi="宋体" w:eastAsia="宋体" w:cs="宋体"/>
                <w:kern w:val="0"/>
                <w:sz w:val="24"/>
              </w:rPr>
            </w:pPr>
            <w:r>
              <w:rPr>
                <w:rFonts w:hint="eastAsia" w:ascii="宋体" w:hAnsi="宋体" w:eastAsia="宋体" w:cs="宋体"/>
                <w:kern w:val="0"/>
                <w:sz w:val="24"/>
              </w:rPr>
              <w:t>1.8</w:t>
            </w:r>
          </w:p>
        </w:tc>
        <w:tc>
          <w:tcPr>
            <w:tcW w:w="1288" w:type="dxa"/>
            <w:tcMar>
              <w:top w:w="100" w:type="dxa"/>
              <w:bottom w:w="100" w:type="dxa"/>
            </w:tcMar>
            <w:vAlign w:val="center"/>
          </w:tcPr>
          <w:p w14:paraId="6340554A">
            <w:pPr>
              <w:widowControl/>
              <w:jc w:val="center"/>
              <w:rPr>
                <w:rFonts w:ascii="宋体" w:hAnsi="宋体" w:eastAsia="宋体" w:cs="宋体"/>
                <w:kern w:val="0"/>
                <w:sz w:val="24"/>
                <w:lang w:eastAsia="en-US"/>
              </w:rPr>
            </w:pPr>
            <w:r>
              <w:rPr>
                <w:rFonts w:hint="eastAsia" w:ascii="宋体" w:hAnsi="宋体" w:eastAsia="宋体" w:cs="宋体"/>
                <w:kern w:val="0"/>
                <w:sz w:val="24"/>
                <w:lang w:eastAsia="en-US"/>
              </w:rPr>
              <w:t>保修阶段方案</w:t>
            </w:r>
          </w:p>
        </w:tc>
        <w:tc>
          <w:tcPr>
            <w:tcW w:w="7040" w:type="dxa"/>
            <w:tcMar>
              <w:top w:w="100" w:type="dxa"/>
              <w:bottom w:w="100" w:type="dxa"/>
            </w:tcMar>
          </w:tcPr>
          <w:p w14:paraId="3614EA99">
            <w:pPr>
              <w:widowControl/>
              <w:jc w:val="left"/>
              <w:rPr>
                <w:rFonts w:ascii="宋体" w:hAnsi="宋体" w:eastAsia="宋体" w:cs="宋体"/>
                <w:kern w:val="0"/>
                <w:sz w:val="24"/>
              </w:rPr>
            </w:pPr>
            <w:r>
              <w:rPr>
                <w:rFonts w:hint="eastAsia" w:ascii="宋体" w:hAnsi="宋体" w:eastAsia="宋体" w:cs="宋体"/>
                <w:kern w:val="0"/>
                <w:sz w:val="24"/>
              </w:rPr>
              <w:t>针对本项目的特点，结合供应商提供的保修阶段方案进行评审。方案内容满足磋商文件要求的得2分，不提供不得分。</w:t>
            </w:r>
            <w:r>
              <w:rPr>
                <w:rFonts w:ascii="宋体" w:hAnsi="宋体" w:eastAsia="宋体" w:cs="宋体"/>
                <w:kern w:val="0"/>
                <w:sz w:val="24"/>
              </w:rPr>
              <w:t>问题受理渠道和响应时限明确；对承包商整改的督促措施具体有力（如发函、约谈）；整改结果验证标准清晰</w:t>
            </w:r>
            <w:r>
              <w:rPr>
                <w:rFonts w:hint="eastAsia" w:ascii="宋体" w:hAnsi="宋体" w:eastAsia="宋体" w:cs="宋体"/>
                <w:kern w:val="0"/>
                <w:sz w:val="24"/>
              </w:rPr>
              <w:t>的加1.5分。</w:t>
            </w:r>
            <w:r>
              <w:rPr>
                <w:rFonts w:ascii="宋体" w:hAnsi="宋体" w:eastAsia="宋体" w:cs="宋体"/>
                <w:kern w:val="0"/>
                <w:sz w:val="24"/>
              </w:rPr>
              <w:t>针对项目特点制定了专门的保修期监控要点和常见问题预案，预见性强</w:t>
            </w:r>
            <w:r>
              <w:rPr>
                <w:rFonts w:hint="eastAsia" w:ascii="宋体" w:hAnsi="宋体" w:eastAsia="宋体" w:cs="宋体"/>
                <w:kern w:val="0"/>
                <w:sz w:val="24"/>
              </w:rPr>
              <w:t>的加1.5分。</w:t>
            </w:r>
          </w:p>
        </w:tc>
        <w:tc>
          <w:tcPr>
            <w:tcW w:w="734" w:type="dxa"/>
            <w:tcMar>
              <w:top w:w="100" w:type="dxa"/>
              <w:bottom w:w="100" w:type="dxa"/>
            </w:tcMar>
            <w:vAlign w:val="center"/>
          </w:tcPr>
          <w:p w14:paraId="5B78CCF1">
            <w:pPr>
              <w:widowControl/>
              <w:jc w:val="center"/>
              <w:rPr>
                <w:rFonts w:ascii="宋体" w:hAnsi="宋体" w:eastAsia="宋体" w:cs="宋体"/>
                <w:kern w:val="0"/>
              </w:rPr>
            </w:pPr>
            <w:r>
              <w:rPr>
                <w:rFonts w:hint="eastAsia" w:ascii="宋体" w:hAnsi="宋体" w:eastAsia="宋体" w:cs="宋体"/>
                <w:kern w:val="0"/>
              </w:rPr>
              <w:t>5.0</w:t>
            </w:r>
          </w:p>
        </w:tc>
      </w:tr>
      <w:tr w14:paraId="7A7824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34" w:type="dxa"/>
            <w:tcMar>
              <w:top w:w="100" w:type="dxa"/>
              <w:bottom w:w="100" w:type="dxa"/>
            </w:tcMar>
            <w:vAlign w:val="center"/>
          </w:tcPr>
          <w:p w14:paraId="76E0DF87">
            <w:pPr>
              <w:widowControl/>
              <w:jc w:val="center"/>
              <w:rPr>
                <w:rFonts w:ascii="宋体" w:hAnsi="宋体" w:eastAsia="宋体" w:cs="宋体"/>
                <w:kern w:val="0"/>
                <w:sz w:val="24"/>
              </w:rPr>
            </w:pPr>
            <w:r>
              <w:rPr>
                <w:rFonts w:hint="eastAsia" w:ascii="宋体" w:hAnsi="宋体" w:eastAsia="宋体" w:cs="宋体"/>
                <w:kern w:val="0"/>
                <w:sz w:val="24"/>
              </w:rPr>
              <w:t>1.9</w:t>
            </w:r>
          </w:p>
        </w:tc>
        <w:tc>
          <w:tcPr>
            <w:tcW w:w="1288" w:type="dxa"/>
            <w:tcMar>
              <w:top w:w="100" w:type="dxa"/>
              <w:bottom w:w="100" w:type="dxa"/>
            </w:tcMar>
            <w:vAlign w:val="center"/>
          </w:tcPr>
          <w:p w14:paraId="2BEC443E">
            <w:pPr>
              <w:widowControl/>
              <w:jc w:val="center"/>
              <w:rPr>
                <w:rFonts w:ascii="宋体" w:hAnsi="宋体" w:eastAsia="宋体" w:cs="宋体"/>
                <w:kern w:val="0"/>
                <w:sz w:val="24"/>
                <w:lang w:eastAsia="en-US"/>
              </w:rPr>
            </w:pPr>
            <w:r>
              <w:rPr>
                <w:rFonts w:hint="eastAsia" w:ascii="宋体" w:hAnsi="宋体" w:eastAsia="宋体" w:cs="宋体"/>
                <w:kern w:val="0"/>
                <w:sz w:val="24"/>
                <w:lang w:eastAsia="en-US"/>
              </w:rPr>
              <w:t>组织协调方案</w:t>
            </w:r>
          </w:p>
        </w:tc>
        <w:tc>
          <w:tcPr>
            <w:tcW w:w="7040" w:type="dxa"/>
            <w:tcMar>
              <w:top w:w="100" w:type="dxa"/>
              <w:bottom w:w="100" w:type="dxa"/>
            </w:tcMar>
          </w:tcPr>
          <w:p w14:paraId="2202BE4A">
            <w:pPr>
              <w:widowControl/>
              <w:jc w:val="left"/>
              <w:rPr>
                <w:rFonts w:ascii="宋体" w:hAnsi="宋体" w:eastAsia="宋体" w:cs="宋体"/>
                <w:kern w:val="0"/>
                <w:sz w:val="24"/>
              </w:rPr>
            </w:pPr>
            <w:r>
              <w:rPr>
                <w:rFonts w:hint="eastAsia" w:ascii="宋体" w:hAnsi="宋体" w:eastAsia="宋体" w:cs="宋体"/>
                <w:kern w:val="0"/>
                <w:sz w:val="24"/>
              </w:rPr>
              <w:t>针对本项目的特点，结合供应商提供的组织协调方案进行评审。方案内容满足磋商文件要求的得2分，不提供不得分。</w:t>
            </w:r>
            <w:r>
              <w:rPr>
                <w:rFonts w:ascii="宋体" w:hAnsi="宋体" w:eastAsia="宋体" w:cs="宋体"/>
                <w:kern w:val="0"/>
                <w:sz w:val="24"/>
              </w:rPr>
              <w:t>有针对本项目特点制定的组织协调措施，针对性强</w:t>
            </w:r>
            <w:r>
              <w:rPr>
                <w:rFonts w:hint="eastAsia" w:ascii="宋体" w:hAnsi="宋体" w:eastAsia="宋体" w:cs="宋体"/>
                <w:kern w:val="0"/>
                <w:sz w:val="24"/>
              </w:rPr>
              <w:t>的加1.5分。结合工程提出的组织协调的内容全面，组织协调的方法、程序和协调措施可行的加1.5分。</w:t>
            </w:r>
          </w:p>
        </w:tc>
        <w:tc>
          <w:tcPr>
            <w:tcW w:w="734" w:type="dxa"/>
            <w:tcMar>
              <w:top w:w="100" w:type="dxa"/>
              <w:bottom w:w="100" w:type="dxa"/>
            </w:tcMar>
            <w:vAlign w:val="center"/>
          </w:tcPr>
          <w:p w14:paraId="5E4AE676">
            <w:pPr>
              <w:widowControl/>
              <w:jc w:val="center"/>
              <w:rPr>
                <w:rFonts w:ascii="宋体" w:hAnsi="宋体" w:eastAsia="宋体" w:cs="宋体"/>
                <w:kern w:val="0"/>
              </w:rPr>
            </w:pPr>
            <w:r>
              <w:rPr>
                <w:rFonts w:hint="eastAsia" w:ascii="宋体" w:hAnsi="宋体" w:eastAsia="宋体" w:cs="宋体"/>
                <w:kern w:val="0"/>
              </w:rPr>
              <w:t>5.0</w:t>
            </w:r>
          </w:p>
        </w:tc>
      </w:tr>
      <w:tr w14:paraId="7D6AD8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34" w:type="dxa"/>
            <w:tcMar>
              <w:top w:w="100" w:type="dxa"/>
              <w:bottom w:w="100" w:type="dxa"/>
            </w:tcMar>
            <w:vAlign w:val="center"/>
          </w:tcPr>
          <w:p w14:paraId="6E2E16DA">
            <w:pPr>
              <w:widowControl/>
              <w:jc w:val="center"/>
              <w:rPr>
                <w:rFonts w:ascii="宋体" w:hAnsi="宋体" w:eastAsia="宋体" w:cs="宋体"/>
                <w:kern w:val="0"/>
                <w:sz w:val="24"/>
              </w:rPr>
            </w:pPr>
            <w:r>
              <w:rPr>
                <w:rFonts w:hint="eastAsia" w:ascii="宋体" w:hAnsi="宋体" w:eastAsia="宋体" w:cs="宋体"/>
                <w:kern w:val="0"/>
                <w:sz w:val="24"/>
              </w:rPr>
              <w:t>1.10</w:t>
            </w:r>
          </w:p>
        </w:tc>
        <w:tc>
          <w:tcPr>
            <w:tcW w:w="1288" w:type="dxa"/>
            <w:tcMar>
              <w:top w:w="100" w:type="dxa"/>
              <w:bottom w:w="100" w:type="dxa"/>
            </w:tcMar>
            <w:vAlign w:val="center"/>
          </w:tcPr>
          <w:p w14:paraId="792F9936">
            <w:pPr>
              <w:widowControl/>
              <w:jc w:val="center"/>
              <w:rPr>
                <w:rFonts w:ascii="宋体" w:hAnsi="宋体" w:eastAsia="宋体" w:cs="宋体"/>
                <w:kern w:val="0"/>
                <w:sz w:val="24"/>
                <w:lang w:eastAsia="en-US"/>
              </w:rPr>
            </w:pPr>
            <w:r>
              <w:rPr>
                <w:rFonts w:hint="eastAsia" w:ascii="宋体" w:hAnsi="宋体" w:eastAsia="宋体" w:cs="宋体"/>
                <w:kern w:val="0"/>
                <w:sz w:val="24"/>
                <w:lang w:eastAsia="en-US"/>
              </w:rPr>
              <w:t>工作制度</w:t>
            </w:r>
          </w:p>
        </w:tc>
        <w:tc>
          <w:tcPr>
            <w:tcW w:w="7040" w:type="dxa"/>
            <w:tcMar>
              <w:top w:w="100" w:type="dxa"/>
              <w:bottom w:w="100" w:type="dxa"/>
            </w:tcMar>
          </w:tcPr>
          <w:p w14:paraId="32159BBD">
            <w:pPr>
              <w:widowControl/>
              <w:jc w:val="left"/>
              <w:rPr>
                <w:rFonts w:ascii="宋体" w:hAnsi="宋体" w:eastAsia="宋体" w:cs="宋体"/>
                <w:kern w:val="0"/>
                <w:sz w:val="24"/>
              </w:rPr>
            </w:pPr>
            <w:r>
              <w:rPr>
                <w:rFonts w:hint="eastAsia" w:ascii="宋体" w:hAnsi="宋体" w:eastAsia="宋体" w:cs="宋体"/>
                <w:kern w:val="0"/>
                <w:sz w:val="24"/>
              </w:rPr>
              <w:t>针对本项目的特点，结合供应商提供的工作制度进行评审。方案内容满足磋商文件要求的得2分，不提供不得分。监理工作制度详尽、清晰，方法科学，制度详细可行的加1分。</w:t>
            </w:r>
          </w:p>
        </w:tc>
        <w:tc>
          <w:tcPr>
            <w:tcW w:w="734" w:type="dxa"/>
            <w:tcMar>
              <w:top w:w="100" w:type="dxa"/>
              <w:bottom w:w="100" w:type="dxa"/>
            </w:tcMar>
            <w:vAlign w:val="center"/>
          </w:tcPr>
          <w:p w14:paraId="02046387">
            <w:pPr>
              <w:widowControl/>
              <w:jc w:val="center"/>
              <w:rPr>
                <w:rFonts w:ascii="宋体" w:hAnsi="宋体" w:eastAsia="宋体" w:cs="宋体"/>
                <w:kern w:val="0"/>
              </w:rPr>
            </w:pPr>
            <w:r>
              <w:rPr>
                <w:rFonts w:hint="eastAsia" w:ascii="宋体" w:hAnsi="宋体" w:eastAsia="宋体" w:cs="宋体"/>
                <w:kern w:val="0"/>
              </w:rPr>
              <w:t>3.0</w:t>
            </w:r>
          </w:p>
        </w:tc>
      </w:tr>
      <w:tr w14:paraId="46AF14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34" w:type="dxa"/>
            <w:tcMar>
              <w:top w:w="100" w:type="dxa"/>
              <w:bottom w:w="100" w:type="dxa"/>
            </w:tcMar>
            <w:vAlign w:val="center"/>
          </w:tcPr>
          <w:p w14:paraId="0702A75E">
            <w:pPr>
              <w:widowControl/>
              <w:jc w:val="center"/>
              <w:rPr>
                <w:rFonts w:ascii="宋体" w:hAnsi="宋体" w:eastAsia="宋体" w:cs="宋体"/>
                <w:kern w:val="0"/>
                <w:sz w:val="24"/>
              </w:rPr>
            </w:pPr>
            <w:r>
              <w:rPr>
                <w:rFonts w:hint="eastAsia" w:ascii="宋体" w:hAnsi="宋体" w:eastAsia="宋体" w:cs="宋体"/>
                <w:kern w:val="0"/>
                <w:sz w:val="24"/>
              </w:rPr>
              <w:t>1.11</w:t>
            </w:r>
          </w:p>
        </w:tc>
        <w:tc>
          <w:tcPr>
            <w:tcW w:w="1288" w:type="dxa"/>
            <w:tcMar>
              <w:top w:w="100" w:type="dxa"/>
              <w:bottom w:w="100" w:type="dxa"/>
            </w:tcMar>
            <w:vAlign w:val="center"/>
          </w:tcPr>
          <w:p w14:paraId="0BDB7B39">
            <w:pPr>
              <w:widowControl/>
              <w:jc w:val="center"/>
              <w:rPr>
                <w:rFonts w:ascii="宋体" w:hAnsi="宋体" w:eastAsia="宋体" w:cs="宋体"/>
                <w:kern w:val="0"/>
                <w:sz w:val="24"/>
                <w:lang w:eastAsia="en-US"/>
              </w:rPr>
            </w:pPr>
            <w:r>
              <w:rPr>
                <w:rFonts w:hint="eastAsia" w:ascii="宋体" w:hAnsi="宋体" w:eastAsia="宋体" w:cs="宋体"/>
                <w:kern w:val="0"/>
                <w:sz w:val="24"/>
                <w:lang w:eastAsia="en-US"/>
              </w:rPr>
              <w:t>技术建议</w:t>
            </w:r>
          </w:p>
        </w:tc>
        <w:tc>
          <w:tcPr>
            <w:tcW w:w="7040" w:type="dxa"/>
            <w:tcMar>
              <w:top w:w="100" w:type="dxa"/>
              <w:bottom w:w="100" w:type="dxa"/>
            </w:tcMar>
          </w:tcPr>
          <w:p w14:paraId="7E12E46A">
            <w:pPr>
              <w:widowControl/>
              <w:jc w:val="left"/>
              <w:rPr>
                <w:rFonts w:ascii="宋体" w:hAnsi="宋体" w:eastAsia="宋体" w:cs="宋体"/>
                <w:kern w:val="0"/>
                <w:sz w:val="24"/>
              </w:rPr>
            </w:pPr>
            <w:r>
              <w:rPr>
                <w:rFonts w:hint="eastAsia" w:ascii="宋体" w:hAnsi="宋体" w:eastAsia="宋体" w:cs="宋体"/>
                <w:kern w:val="0"/>
                <w:sz w:val="24"/>
              </w:rPr>
              <w:t>针对本项目的特点，结合供应商提供的技术建议进行评审。方案内容满足磋商文件要求的得2分，不提供不得分。方案中提出的技术建议（如优化施工顺序、采用新工艺的建议、专项风险管控预案等）具有明显的创新性或能产生显著的增值效果（如提升质量、保障安全、节约投资等），经评委会认定合理可行的加2分。</w:t>
            </w:r>
          </w:p>
        </w:tc>
        <w:tc>
          <w:tcPr>
            <w:tcW w:w="734" w:type="dxa"/>
            <w:tcMar>
              <w:top w:w="100" w:type="dxa"/>
              <w:bottom w:w="100" w:type="dxa"/>
            </w:tcMar>
            <w:vAlign w:val="center"/>
          </w:tcPr>
          <w:p w14:paraId="35D1A4E1">
            <w:pPr>
              <w:widowControl/>
              <w:jc w:val="center"/>
              <w:rPr>
                <w:rFonts w:ascii="宋体" w:hAnsi="宋体" w:eastAsia="宋体" w:cs="宋体"/>
                <w:kern w:val="0"/>
              </w:rPr>
            </w:pPr>
            <w:r>
              <w:rPr>
                <w:rFonts w:hint="eastAsia" w:ascii="宋体" w:hAnsi="宋体" w:eastAsia="宋体" w:cs="宋体"/>
                <w:kern w:val="0"/>
              </w:rPr>
              <w:t>4.0</w:t>
            </w:r>
          </w:p>
        </w:tc>
      </w:tr>
    </w:tbl>
    <w:p w14:paraId="45B7CDAA">
      <w:pPr>
        <w:spacing w:before="28"/>
        <w:rPr>
          <w:rFonts w:ascii="宋体" w:hAnsi="宋体" w:eastAsia="宋体" w:cs="宋体"/>
          <w:kern w:val="0"/>
        </w:rPr>
      </w:pPr>
    </w:p>
    <w:p w14:paraId="30E96319">
      <w:pPr>
        <w:spacing w:before="28"/>
        <w:rPr>
          <w:rFonts w:ascii="宋体" w:hAnsi="宋体" w:eastAsia="宋体" w:cs="宋体"/>
          <w:kern w:val="0"/>
        </w:rPr>
      </w:pPr>
    </w:p>
    <w:p w14:paraId="048B7E77">
      <w:pPr>
        <w:spacing w:before="78" w:line="218" w:lineRule="auto"/>
        <w:rPr>
          <w:rFonts w:ascii="宋体" w:hAnsi="宋体" w:eastAsia="宋体" w:cs="宋体"/>
          <w:b/>
          <w:bCs/>
          <w:kern w:val="0"/>
        </w:rPr>
      </w:pPr>
      <w:r>
        <w:rPr>
          <w:rFonts w:hint="eastAsia" w:ascii="宋体" w:hAnsi="宋体" w:eastAsia="宋体" w:cs="宋体"/>
          <w:b/>
          <w:bCs/>
          <w:spacing w:val="-17"/>
          <w:kern w:val="0"/>
          <w:sz w:val="24"/>
        </w:rPr>
        <w:t>（二）商务评估</w:t>
      </w:r>
    </w:p>
    <w:p w14:paraId="767F6089">
      <w:pPr>
        <w:spacing w:before="28"/>
        <w:rPr>
          <w:rFonts w:ascii="宋体" w:hAnsi="宋体" w:eastAsia="宋体" w:cs="宋体"/>
          <w:kern w:val="0"/>
        </w:rPr>
      </w:pPr>
    </w:p>
    <w:p w14:paraId="24666BF8">
      <w:pPr>
        <w:spacing w:before="28"/>
        <w:rPr>
          <w:rFonts w:ascii="宋体" w:hAnsi="宋体" w:eastAsia="宋体" w:cs="宋体"/>
          <w:kern w:val="0"/>
        </w:rPr>
      </w:pPr>
    </w:p>
    <w:tbl>
      <w:tblPr>
        <w:tblStyle w:val="2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642"/>
        <w:gridCol w:w="142"/>
        <w:gridCol w:w="1134"/>
        <w:gridCol w:w="6784"/>
        <w:gridCol w:w="696"/>
      </w:tblGrid>
      <w:tr w14:paraId="7BBE40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642" w:type="dxa"/>
            <w:tcMar>
              <w:top w:w="100" w:type="dxa"/>
              <w:bottom w:w="100" w:type="dxa"/>
            </w:tcMar>
            <w:vAlign w:val="center"/>
          </w:tcPr>
          <w:p w14:paraId="0848BD66">
            <w:pPr>
              <w:widowControl/>
              <w:jc w:val="center"/>
              <w:rPr>
                <w:rFonts w:ascii="宋体" w:hAnsi="宋体" w:eastAsia="宋体" w:cs="宋体"/>
                <w:kern w:val="0"/>
                <w:sz w:val="24"/>
                <w:lang w:eastAsia="en-US"/>
              </w:rPr>
            </w:pPr>
            <w:r>
              <w:rPr>
                <w:rFonts w:hint="eastAsia" w:ascii="宋体" w:hAnsi="宋体" w:eastAsia="宋体" w:cs="宋体"/>
                <w:kern w:val="0"/>
                <w:sz w:val="24"/>
                <w:lang w:eastAsia="en-US"/>
              </w:rPr>
              <w:t>序号</w:t>
            </w:r>
          </w:p>
        </w:tc>
        <w:tc>
          <w:tcPr>
            <w:tcW w:w="1276" w:type="dxa"/>
            <w:gridSpan w:val="2"/>
            <w:tcMar>
              <w:top w:w="100" w:type="dxa"/>
              <w:bottom w:w="100" w:type="dxa"/>
            </w:tcMar>
            <w:vAlign w:val="center"/>
          </w:tcPr>
          <w:p w14:paraId="69969D49">
            <w:pPr>
              <w:widowControl/>
              <w:jc w:val="center"/>
              <w:rPr>
                <w:rFonts w:ascii="宋体" w:hAnsi="宋体" w:eastAsia="宋体" w:cs="宋体"/>
                <w:kern w:val="0"/>
                <w:sz w:val="24"/>
                <w:lang w:eastAsia="en-US"/>
              </w:rPr>
            </w:pPr>
            <w:r>
              <w:rPr>
                <w:rFonts w:hint="eastAsia" w:ascii="宋体" w:hAnsi="宋体" w:eastAsia="宋体" w:cs="宋体"/>
                <w:kern w:val="0"/>
                <w:sz w:val="24"/>
                <w:lang w:eastAsia="en-US"/>
              </w:rPr>
              <w:t>评审因素</w:t>
            </w:r>
          </w:p>
        </w:tc>
        <w:tc>
          <w:tcPr>
            <w:tcW w:w="6784" w:type="dxa"/>
            <w:tcMar>
              <w:top w:w="100" w:type="dxa"/>
              <w:bottom w:w="100" w:type="dxa"/>
            </w:tcMar>
            <w:vAlign w:val="center"/>
          </w:tcPr>
          <w:p w14:paraId="521CF24E">
            <w:pPr>
              <w:widowControl/>
              <w:jc w:val="center"/>
              <w:rPr>
                <w:rFonts w:ascii="宋体" w:hAnsi="宋体" w:eastAsia="宋体" w:cs="宋体"/>
                <w:kern w:val="0"/>
                <w:sz w:val="24"/>
                <w:lang w:eastAsia="en-US"/>
              </w:rPr>
            </w:pPr>
            <w:r>
              <w:rPr>
                <w:rFonts w:hint="eastAsia" w:ascii="宋体" w:hAnsi="宋体" w:eastAsia="宋体" w:cs="宋体"/>
                <w:kern w:val="0"/>
                <w:sz w:val="24"/>
                <w:lang w:eastAsia="en-US"/>
              </w:rPr>
              <w:t>评审细则</w:t>
            </w:r>
          </w:p>
        </w:tc>
        <w:tc>
          <w:tcPr>
            <w:tcW w:w="696" w:type="dxa"/>
            <w:tcMar>
              <w:top w:w="100" w:type="dxa"/>
              <w:bottom w:w="100" w:type="dxa"/>
            </w:tcMar>
            <w:vAlign w:val="center"/>
          </w:tcPr>
          <w:p w14:paraId="3B886CAF">
            <w:pPr>
              <w:widowControl/>
              <w:jc w:val="center"/>
              <w:rPr>
                <w:rFonts w:ascii="宋体" w:hAnsi="宋体" w:eastAsia="宋体" w:cs="宋体"/>
                <w:kern w:val="0"/>
                <w:sz w:val="24"/>
                <w:lang w:eastAsia="en-US"/>
              </w:rPr>
            </w:pPr>
            <w:r>
              <w:rPr>
                <w:rFonts w:hint="eastAsia" w:ascii="宋体" w:hAnsi="宋体" w:eastAsia="宋体" w:cs="宋体"/>
                <w:kern w:val="0"/>
                <w:sz w:val="24"/>
                <w:lang w:eastAsia="en-US"/>
              </w:rPr>
              <w:t>分值</w:t>
            </w:r>
          </w:p>
        </w:tc>
      </w:tr>
      <w:tr w14:paraId="5EC801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702" w:type="dxa"/>
            <w:gridSpan w:val="4"/>
            <w:tcMar>
              <w:top w:w="100" w:type="dxa"/>
              <w:bottom w:w="100" w:type="dxa"/>
            </w:tcMar>
            <w:vAlign w:val="center"/>
          </w:tcPr>
          <w:p w14:paraId="4CCEA024">
            <w:pPr>
              <w:widowControl/>
              <w:jc w:val="center"/>
              <w:rPr>
                <w:rFonts w:ascii="宋体" w:hAnsi="宋体" w:eastAsia="宋体" w:cs="宋体"/>
                <w:kern w:val="0"/>
                <w:sz w:val="24"/>
              </w:rPr>
            </w:pPr>
            <w:r>
              <w:rPr>
                <w:rFonts w:hint="eastAsia" w:ascii="宋体" w:hAnsi="宋体" w:eastAsia="宋体" w:cs="宋体"/>
                <w:kern w:val="0"/>
                <w:sz w:val="24"/>
              </w:rPr>
              <w:t>商务部分</w:t>
            </w:r>
          </w:p>
        </w:tc>
        <w:tc>
          <w:tcPr>
            <w:tcW w:w="696" w:type="dxa"/>
            <w:tcMar>
              <w:top w:w="100" w:type="dxa"/>
              <w:bottom w:w="100" w:type="dxa"/>
            </w:tcMar>
            <w:vAlign w:val="center"/>
          </w:tcPr>
          <w:p w14:paraId="2DE25447">
            <w:pPr>
              <w:widowControl/>
              <w:jc w:val="center"/>
              <w:rPr>
                <w:rFonts w:ascii="宋体" w:hAnsi="宋体" w:eastAsia="宋体" w:cs="宋体"/>
                <w:kern w:val="0"/>
                <w:sz w:val="24"/>
                <w:lang w:eastAsia="en-US"/>
              </w:rPr>
            </w:pPr>
            <w:r>
              <w:rPr>
                <w:rFonts w:hint="eastAsia" w:ascii="宋体" w:hAnsi="宋体" w:eastAsia="宋体" w:cs="宋体"/>
                <w:kern w:val="0"/>
                <w:sz w:val="24"/>
              </w:rPr>
              <w:t>25</w:t>
            </w:r>
            <w:r>
              <w:rPr>
                <w:rFonts w:hint="eastAsia" w:ascii="宋体" w:hAnsi="宋体" w:eastAsia="宋体" w:cs="宋体"/>
                <w:kern w:val="0"/>
                <w:sz w:val="24"/>
                <w:lang w:eastAsia="en-US"/>
              </w:rPr>
              <w:t>.0</w:t>
            </w:r>
          </w:p>
        </w:tc>
      </w:tr>
      <w:tr w14:paraId="22BF90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84" w:type="dxa"/>
            <w:gridSpan w:val="2"/>
            <w:tcMar>
              <w:top w:w="100" w:type="dxa"/>
              <w:bottom w:w="100" w:type="dxa"/>
            </w:tcMar>
            <w:vAlign w:val="center"/>
          </w:tcPr>
          <w:p w14:paraId="39EAD5E9">
            <w:pPr>
              <w:widowControl/>
              <w:jc w:val="center"/>
              <w:rPr>
                <w:rFonts w:ascii="宋体" w:hAnsi="宋体" w:eastAsia="宋体" w:cs="宋体"/>
                <w:kern w:val="0"/>
                <w:sz w:val="24"/>
                <w:lang w:eastAsia="en-US"/>
              </w:rPr>
            </w:pPr>
            <w:r>
              <w:rPr>
                <w:rFonts w:hint="eastAsia" w:ascii="宋体" w:hAnsi="宋体" w:eastAsia="宋体" w:cs="宋体"/>
                <w:kern w:val="0"/>
                <w:sz w:val="24"/>
                <w:lang w:eastAsia="en-US"/>
              </w:rPr>
              <w:t>2.1</w:t>
            </w:r>
          </w:p>
        </w:tc>
        <w:tc>
          <w:tcPr>
            <w:tcW w:w="1134" w:type="dxa"/>
            <w:tcMar>
              <w:top w:w="100" w:type="dxa"/>
              <w:bottom w:w="100" w:type="dxa"/>
            </w:tcMar>
            <w:vAlign w:val="center"/>
          </w:tcPr>
          <w:p w14:paraId="011D3167">
            <w:pPr>
              <w:ind w:firstLine="28"/>
              <w:jc w:val="center"/>
              <w:rPr>
                <w:rFonts w:hint="eastAsia" w:ascii="宋体" w:hAnsi="宋体" w:eastAsia="宋体" w:cs="宋体"/>
                <w:kern w:val="0"/>
                <w:sz w:val="24"/>
                <w:szCs w:val="24"/>
                <w:u w:val="none"/>
              </w:rPr>
            </w:pPr>
            <w:r>
              <w:rPr>
                <w:rFonts w:hint="eastAsia" w:ascii="宋体" w:hAnsi="宋体" w:eastAsia="宋体" w:cs="宋体"/>
                <w:kern w:val="0"/>
                <w:sz w:val="24"/>
                <w:szCs w:val="24"/>
                <w:u w:val="none"/>
              </w:rPr>
              <w:t>总监理工程师</w:t>
            </w:r>
          </w:p>
        </w:tc>
        <w:tc>
          <w:tcPr>
            <w:tcW w:w="6784" w:type="dxa"/>
            <w:tcMar>
              <w:top w:w="100" w:type="dxa"/>
              <w:bottom w:w="100" w:type="dxa"/>
            </w:tcMar>
            <w:vAlign w:val="center"/>
          </w:tcPr>
          <w:p w14:paraId="23A077AD">
            <w:pPr>
              <w:widowControl/>
              <w:spacing w:line="460" w:lineRule="exact"/>
              <w:ind w:left="355"/>
              <w:jc w:val="left"/>
              <w:rPr>
                <w:rFonts w:hint="eastAsia" w:ascii="宋体" w:hAnsi="宋体" w:eastAsia="宋体" w:cs="宋体"/>
                <w:b w:val="0"/>
                <w:bCs w:val="0"/>
                <w:color w:val="auto"/>
                <w:kern w:val="0"/>
                <w:sz w:val="24"/>
                <w:szCs w:val="24"/>
                <w:u w:val="none"/>
              </w:rPr>
            </w:pPr>
            <w:r>
              <w:rPr>
                <w:rFonts w:hint="eastAsia" w:ascii="宋体" w:hAnsi="宋体" w:eastAsia="宋体" w:cs="宋体"/>
                <w:b w:val="0"/>
                <w:bCs w:val="0"/>
                <w:color w:val="auto"/>
                <w:kern w:val="0"/>
                <w:sz w:val="24"/>
                <w:szCs w:val="24"/>
                <w:u w:val="none"/>
              </w:rPr>
              <w:t>1、总监理工程师具有高级工程师职称的得</w:t>
            </w:r>
            <w:r>
              <w:rPr>
                <w:rFonts w:hint="eastAsia" w:ascii="宋体" w:hAnsi="宋体" w:eastAsia="宋体" w:cs="宋体"/>
                <w:b w:val="0"/>
                <w:bCs w:val="0"/>
                <w:color w:val="auto"/>
                <w:kern w:val="0"/>
                <w:sz w:val="24"/>
                <w:szCs w:val="24"/>
                <w:u w:val="none"/>
                <w:lang w:val="en-US" w:eastAsia="zh-CN"/>
              </w:rPr>
              <w:t>2</w:t>
            </w:r>
            <w:r>
              <w:rPr>
                <w:rFonts w:hint="eastAsia" w:ascii="宋体" w:hAnsi="宋体" w:eastAsia="宋体" w:cs="宋体"/>
                <w:b w:val="0"/>
                <w:bCs w:val="0"/>
                <w:color w:val="auto"/>
                <w:kern w:val="0"/>
                <w:sz w:val="24"/>
                <w:szCs w:val="24"/>
                <w:u w:val="none"/>
              </w:rPr>
              <w:t>分。</w:t>
            </w:r>
          </w:p>
          <w:p w14:paraId="6F2CA023">
            <w:pPr>
              <w:widowControl/>
              <w:spacing w:line="460" w:lineRule="exact"/>
              <w:ind w:left="355"/>
              <w:jc w:val="left"/>
              <w:rPr>
                <w:rFonts w:hint="eastAsia" w:ascii="宋体" w:hAnsi="宋体" w:eastAsia="宋体" w:cs="宋体"/>
                <w:b w:val="0"/>
                <w:bCs w:val="0"/>
                <w:color w:val="auto"/>
                <w:kern w:val="0"/>
                <w:sz w:val="24"/>
                <w:szCs w:val="24"/>
                <w:u w:val="none"/>
              </w:rPr>
            </w:pPr>
            <w:r>
              <w:rPr>
                <w:rFonts w:hint="eastAsia" w:ascii="宋体" w:hAnsi="宋体" w:eastAsia="宋体" w:cs="宋体"/>
                <w:b w:val="0"/>
                <w:bCs w:val="0"/>
                <w:color w:val="auto"/>
                <w:kern w:val="0"/>
                <w:sz w:val="24"/>
                <w:szCs w:val="24"/>
                <w:u w:val="none"/>
              </w:rPr>
              <w:t>2、总监理工程师取得注册监理工程师执业资格证书年限为</w:t>
            </w:r>
            <w:r>
              <w:rPr>
                <w:rFonts w:hint="eastAsia" w:ascii="宋体" w:hAnsi="宋体" w:eastAsia="宋体" w:cs="宋体"/>
                <w:b w:val="0"/>
                <w:bCs w:val="0"/>
                <w:color w:val="auto"/>
                <w:kern w:val="0"/>
                <w:sz w:val="24"/>
                <w:szCs w:val="24"/>
                <w:u w:val="none"/>
                <w:lang w:val="en-US" w:eastAsia="zh-CN"/>
              </w:rPr>
              <w:t>10</w:t>
            </w:r>
            <w:r>
              <w:rPr>
                <w:rFonts w:hint="eastAsia" w:ascii="宋体" w:hAnsi="宋体" w:eastAsia="宋体" w:cs="宋体"/>
                <w:b w:val="0"/>
                <w:bCs w:val="0"/>
                <w:color w:val="auto"/>
                <w:kern w:val="0"/>
                <w:sz w:val="24"/>
                <w:szCs w:val="24"/>
                <w:u w:val="none"/>
              </w:rPr>
              <w:t>年（含</w:t>
            </w:r>
            <w:r>
              <w:rPr>
                <w:rFonts w:hint="eastAsia" w:ascii="宋体" w:hAnsi="宋体" w:eastAsia="宋体" w:cs="宋体"/>
                <w:b w:val="0"/>
                <w:bCs w:val="0"/>
                <w:color w:val="auto"/>
                <w:kern w:val="0"/>
                <w:sz w:val="24"/>
                <w:szCs w:val="24"/>
                <w:u w:val="none"/>
                <w:lang w:val="en-US" w:eastAsia="zh-CN"/>
              </w:rPr>
              <w:t>1</w:t>
            </w:r>
            <w:r>
              <w:rPr>
                <w:rFonts w:hint="eastAsia" w:ascii="宋体" w:hAnsi="宋体" w:eastAsia="宋体" w:cs="宋体"/>
                <w:b w:val="0"/>
                <w:bCs w:val="0"/>
                <w:color w:val="auto"/>
                <w:kern w:val="0"/>
                <w:sz w:val="24"/>
                <w:szCs w:val="24"/>
                <w:u w:val="none"/>
              </w:rPr>
              <w:t>0年）以上的得</w:t>
            </w:r>
            <w:r>
              <w:rPr>
                <w:rFonts w:hint="eastAsia" w:ascii="宋体" w:hAnsi="宋体" w:eastAsia="宋体" w:cs="宋体"/>
                <w:b w:val="0"/>
                <w:bCs w:val="0"/>
                <w:color w:val="auto"/>
                <w:kern w:val="0"/>
                <w:sz w:val="24"/>
                <w:szCs w:val="24"/>
                <w:u w:val="none"/>
                <w:lang w:val="en-US" w:eastAsia="zh-CN"/>
              </w:rPr>
              <w:t>2</w:t>
            </w:r>
            <w:r>
              <w:rPr>
                <w:rFonts w:hint="eastAsia" w:ascii="宋体" w:hAnsi="宋体" w:eastAsia="宋体" w:cs="宋体"/>
                <w:b w:val="0"/>
                <w:bCs w:val="0"/>
                <w:color w:val="auto"/>
                <w:kern w:val="0"/>
                <w:sz w:val="24"/>
                <w:szCs w:val="24"/>
                <w:u w:val="none"/>
              </w:rPr>
              <w:t>分；其余不得分。（年限以监理工程师执业资格证书的签发日期为准）。</w:t>
            </w:r>
          </w:p>
          <w:p w14:paraId="1533083A">
            <w:pPr>
              <w:widowControl/>
              <w:spacing w:line="460" w:lineRule="exact"/>
              <w:ind w:left="355"/>
              <w:jc w:val="left"/>
              <w:rPr>
                <w:rFonts w:hint="eastAsia" w:ascii="宋体" w:hAnsi="宋体" w:eastAsia="宋体" w:cs="宋体"/>
                <w:b w:val="0"/>
                <w:bCs w:val="0"/>
                <w:color w:val="auto"/>
                <w:kern w:val="0"/>
                <w:sz w:val="24"/>
                <w:szCs w:val="24"/>
                <w:u w:val="none"/>
                <w:lang w:val="en-US" w:eastAsia="zh-CN"/>
              </w:rPr>
            </w:pPr>
            <w:r>
              <w:rPr>
                <w:rFonts w:hint="eastAsia" w:ascii="宋体" w:hAnsi="宋体" w:eastAsia="宋体" w:cs="宋体"/>
                <w:b w:val="0"/>
                <w:bCs w:val="0"/>
                <w:color w:val="auto"/>
                <w:kern w:val="0"/>
                <w:sz w:val="24"/>
                <w:szCs w:val="24"/>
                <w:u w:val="none"/>
                <w:lang w:val="en-US" w:eastAsia="zh-CN"/>
              </w:rPr>
              <w:t>3、</w:t>
            </w:r>
            <w:r>
              <w:rPr>
                <w:rFonts w:hint="eastAsia" w:ascii="宋体" w:hAnsi="宋体" w:eastAsia="宋体" w:cs="宋体"/>
                <w:b w:val="0"/>
                <w:bCs w:val="0"/>
                <w:color w:val="auto"/>
                <w:kern w:val="0"/>
                <w:sz w:val="24"/>
                <w:szCs w:val="24"/>
                <w:u w:val="none"/>
              </w:rPr>
              <w:t>总监理工程师取得</w:t>
            </w:r>
            <w:r>
              <w:rPr>
                <w:rFonts w:hint="eastAsia" w:ascii="宋体" w:hAnsi="宋体" w:eastAsia="宋体" w:cs="宋体"/>
                <w:b w:val="0"/>
                <w:bCs w:val="0"/>
                <w:color w:val="auto"/>
                <w:kern w:val="0"/>
                <w:sz w:val="24"/>
                <w:szCs w:val="24"/>
                <w:u w:val="none"/>
                <w:lang w:val="en-US" w:eastAsia="zh-CN"/>
              </w:rPr>
              <w:t>国家</w:t>
            </w:r>
            <w:r>
              <w:rPr>
                <w:rFonts w:hint="eastAsia" w:ascii="宋体" w:hAnsi="宋体" w:eastAsia="宋体" w:cs="宋体"/>
                <w:b w:val="0"/>
                <w:bCs w:val="0"/>
                <w:color w:val="auto"/>
                <w:kern w:val="0"/>
                <w:sz w:val="24"/>
                <w:szCs w:val="24"/>
                <w:u w:val="none"/>
              </w:rPr>
              <w:t>一级注册造价工程师（土木建筑）的得2分。</w:t>
            </w:r>
          </w:p>
          <w:p w14:paraId="2F47740C">
            <w:pPr>
              <w:widowControl/>
              <w:spacing w:line="360" w:lineRule="auto"/>
              <w:ind w:firstLine="480"/>
              <w:jc w:val="left"/>
              <w:rPr>
                <w:rFonts w:hint="eastAsia" w:ascii="宋体" w:hAnsi="宋体" w:eastAsia="宋体" w:cs="宋体"/>
                <w:b w:val="0"/>
                <w:bCs w:val="0"/>
                <w:color w:val="auto"/>
                <w:kern w:val="0"/>
                <w:sz w:val="24"/>
                <w:szCs w:val="24"/>
                <w:u w:val="none"/>
              </w:rPr>
            </w:pPr>
            <w:r>
              <w:rPr>
                <w:rFonts w:hint="eastAsia" w:ascii="宋体" w:hAnsi="宋体" w:eastAsia="宋体" w:cs="宋体"/>
                <w:b w:val="0"/>
                <w:bCs w:val="0"/>
                <w:color w:val="auto"/>
                <w:kern w:val="0"/>
                <w:sz w:val="24"/>
                <w:szCs w:val="24"/>
                <w:u w:val="none"/>
              </w:rPr>
              <w:t>本项最高为6分。</w:t>
            </w:r>
          </w:p>
          <w:p w14:paraId="62A1B2B9">
            <w:pPr>
              <w:widowControl/>
              <w:spacing w:line="360" w:lineRule="auto"/>
              <w:ind w:firstLine="480"/>
              <w:jc w:val="left"/>
              <w:rPr>
                <w:rFonts w:hint="eastAsia" w:ascii="宋体" w:hAnsi="宋体" w:eastAsia="宋体" w:cs="宋体"/>
                <w:kern w:val="0"/>
                <w:sz w:val="24"/>
                <w:szCs w:val="24"/>
                <w:u w:val="none"/>
              </w:rPr>
            </w:pPr>
            <w:r>
              <w:rPr>
                <w:rFonts w:hint="eastAsia" w:ascii="宋体" w:hAnsi="宋体" w:eastAsia="宋体" w:cs="宋体"/>
                <w:kern w:val="0"/>
                <w:sz w:val="24"/>
                <w:szCs w:val="24"/>
                <w:u w:val="none"/>
              </w:rPr>
              <w:t>注：提供相关证书的原件扫描件</w:t>
            </w:r>
            <w:r>
              <w:rPr>
                <w:rFonts w:hint="eastAsia" w:ascii="宋体" w:hAnsi="宋体" w:eastAsia="宋体" w:cs="宋体"/>
                <w:sz w:val="24"/>
                <w:szCs w:val="24"/>
                <w:u w:val="none"/>
              </w:rPr>
              <w:t>，以执业资格证书为评分依据的提供执业资格证书原件扫描件</w:t>
            </w:r>
            <w:r>
              <w:rPr>
                <w:rFonts w:hint="eastAsia" w:ascii="宋体" w:hAnsi="宋体" w:eastAsia="宋体" w:cs="宋体"/>
                <w:sz w:val="24"/>
                <w:szCs w:val="24"/>
                <w:u w:val="none"/>
                <w:lang w:eastAsia="zh-CN"/>
              </w:rPr>
              <w:t>，</w:t>
            </w:r>
            <w:r>
              <w:rPr>
                <w:rFonts w:hint="eastAsia" w:ascii="宋体" w:hAnsi="宋体" w:eastAsia="宋体" w:cs="宋体"/>
                <w:kern w:val="0"/>
                <w:sz w:val="24"/>
                <w:szCs w:val="24"/>
                <w:u w:val="none"/>
              </w:rPr>
              <w:t xml:space="preserve">须提供近半年（任意一个月）投标人为其缴纳的社会保险证明材料。 </w:t>
            </w:r>
          </w:p>
        </w:tc>
        <w:tc>
          <w:tcPr>
            <w:tcW w:w="696" w:type="dxa"/>
            <w:tcMar>
              <w:top w:w="100" w:type="dxa"/>
              <w:bottom w:w="100" w:type="dxa"/>
            </w:tcMar>
            <w:vAlign w:val="center"/>
          </w:tcPr>
          <w:p w14:paraId="70525CD0">
            <w:pPr>
              <w:widowControl/>
              <w:jc w:val="center"/>
              <w:rPr>
                <w:rFonts w:hint="eastAsia" w:ascii="宋体" w:hAnsi="宋体" w:eastAsia="宋体" w:cs="宋体"/>
                <w:kern w:val="0"/>
                <w:sz w:val="24"/>
                <w:szCs w:val="24"/>
                <w:u w:val="none"/>
                <w:lang w:eastAsia="en-US"/>
              </w:rPr>
            </w:pPr>
            <w:r>
              <w:rPr>
                <w:rFonts w:hint="eastAsia" w:ascii="宋体" w:hAnsi="宋体" w:eastAsia="宋体" w:cs="宋体"/>
                <w:kern w:val="0"/>
                <w:sz w:val="24"/>
                <w:szCs w:val="24"/>
                <w:u w:val="none"/>
              </w:rPr>
              <w:t>6</w:t>
            </w:r>
            <w:r>
              <w:rPr>
                <w:rFonts w:hint="eastAsia" w:ascii="宋体" w:hAnsi="宋体" w:eastAsia="宋体" w:cs="宋体"/>
                <w:kern w:val="0"/>
                <w:sz w:val="24"/>
                <w:szCs w:val="24"/>
                <w:u w:val="none"/>
                <w:lang w:eastAsia="en-US"/>
              </w:rPr>
              <w:t>.0</w:t>
            </w:r>
          </w:p>
        </w:tc>
      </w:tr>
      <w:tr w14:paraId="4648D0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84" w:type="dxa"/>
            <w:gridSpan w:val="2"/>
            <w:tcMar>
              <w:top w:w="100" w:type="dxa"/>
              <w:bottom w:w="100" w:type="dxa"/>
            </w:tcMar>
            <w:vAlign w:val="center"/>
          </w:tcPr>
          <w:p w14:paraId="2A0BB917">
            <w:pPr>
              <w:widowControl/>
              <w:jc w:val="center"/>
              <w:rPr>
                <w:rFonts w:ascii="宋体" w:hAnsi="宋体" w:eastAsia="宋体" w:cs="宋体"/>
                <w:kern w:val="0"/>
                <w:sz w:val="24"/>
              </w:rPr>
            </w:pPr>
            <w:r>
              <w:rPr>
                <w:rFonts w:hint="eastAsia" w:ascii="宋体" w:hAnsi="宋体" w:eastAsia="宋体" w:cs="宋体"/>
                <w:kern w:val="0"/>
                <w:sz w:val="24"/>
              </w:rPr>
              <w:t>2.2</w:t>
            </w:r>
          </w:p>
        </w:tc>
        <w:tc>
          <w:tcPr>
            <w:tcW w:w="1134" w:type="dxa"/>
            <w:tcMar>
              <w:top w:w="100" w:type="dxa"/>
              <w:bottom w:w="100" w:type="dxa"/>
            </w:tcMar>
            <w:vAlign w:val="center"/>
          </w:tcPr>
          <w:p w14:paraId="1EC8628D">
            <w:pPr>
              <w:ind w:firstLine="28"/>
              <w:jc w:val="center"/>
              <w:rPr>
                <w:rFonts w:hint="eastAsia" w:ascii="宋体" w:hAnsi="宋体" w:eastAsia="宋体" w:cs="宋体"/>
                <w:kern w:val="0"/>
                <w:sz w:val="24"/>
                <w:szCs w:val="24"/>
                <w:u w:val="none"/>
              </w:rPr>
            </w:pPr>
            <w:r>
              <w:rPr>
                <w:rFonts w:hint="eastAsia" w:ascii="宋体" w:hAnsi="宋体" w:eastAsia="宋体" w:cs="宋体"/>
                <w:kern w:val="0"/>
                <w:sz w:val="24"/>
                <w:szCs w:val="24"/>
                <w:u w:val="none"/>
              </w:rPr>
              <w:t>市政公用工程专业监理</w:t>
            </w:r>
          </w:p>
        </w:tc>
        <w:tc>
          <w:tcPr>
            <w:tcW w:w="6784" w:type="dxa"/>
            <w:tcMar>
              <w:top w:w="100" w:type="dxa"/>
              <w:bottom w:w="100" w:type="dxa"/>
            </w:tcMar>
            <w:vAlign w:val="center"/>
          </w:tcPr>
          <w:p w14:paraId="5CCE57B4">
            <w:pPr>
              <w:widowControl/>
              <w:spacing w:line="460" w:lineRule="exact"/>
              <w:ind w:firstLine="480" w:firstLineChars="200"/>
              <w:jc w:val="left"/>
              <w:rPr>
                <w:rFonts w:hint="eastAsia" w:ascii="宋体" w:hAnsi="宋体" w:eastAsia="宋体" w:cs="宋体"/>
                <w:b w:val="0"/>
                <w:bCs w:val="0"/>
                <w:color w:val="auto"/>
                <w:kern w:val="0"/>
                <w:sz w:val="24"/>
                <w:szCs w:val="24"/>
                <w:u w:val="none"/>
              </w:rPr>
            </w:pPr>
            <w:r>
              <w:rPr>
                <w:rFonts w:hint="eastAsia" w:ascii="宋体" w:hAnsi="宋体" w:eastAsia="宋体" w:cs="宋体"/>
                <w:b w:val="0"/>
                <w:bCs w:val="0"/>
                <w:color w:val="auto"/>
                <w:sz w:val="24"/>
                <w:szCs w:val="24"/>
                <w:u w:val="none"/>
                <w:shd w:val="clear" w:color="auto" w:fill="FFFFFF"/>
              </w:rPr>
              <w:t>市政公用工程专业监理工程师</w:t>
            </w:r>
            <w:r>
              <w:rPr>
                <w:rFonts w:hint="eastAsia" w:ascii="宋体" w:hAnsi="宋体" w:eastAsia="宋体" w:cs="宋体"/>
                <w:b w:val="0"/>
                <w:bCs w:val="0"/>
                <w:color w:val="auto"/>
                <w:sz w:val="24"/>
                <w:szCs w:val="24"/>
                <w:u w:val="none"/>
                <w:shd w:val="clear" w:color="auto" w:fill="FFFFFF"/>
                <w:lang w:val="en-US" w:eastAsia="zh-CN"/>
              </w:rPr>
              <w:t>1</w:t>
            </w:r>
            <w:r>
              <w:rPr>
                <w:rFonts w:hint="eastAsia" w:ascii="宋体" w:hAnsi="宋体" w:eastAsia="宋体" w:cs="宋体"/>
                <w:b w:val="0"/>
                <w:bCs w:val="0"/>
                <w:color w:val="auto"/>
                <w:sz w:val="24"/>
                <w:szCs w:val="24"/>
                <w:u w:val="none"/>
                <w:shd w:val="clear" w:color="auto" w:fill="FFFFFF"/>
              </w:rPr>
              <w:t>名</w:t>
            </w:r>
            <w:r>
              <w:rPr>
                <w:rFonts w:hint="eastAsia" w:ascii="宋体" w:hAnsi="宋体" w:eastAsia="宋体" w:cs="宋体"/>
                <w:b w:val="0"/>
                <w:bCs w:val="0"/>
                <w:color w:val="auto"/>
                <w:kern w:val="0"/>
                <w:sz w:val="24"/>
                <w:szCs w:val="24"/>
                <w:u w:val="none"/>
                <w:lang w:eastAsia="zh-CN"/>
              </w:rPr>
              <w:t>：</w:t>
            </w:r>
            <w:r>
              <w:rPr>
                <w:rFonts w:hint="eastAsia" w:ascii="宋体" w:hAnsi="宋体" w:eastAsia="宋体" w:cs="宋体"/>
                <w:b w:val="0"/>
                <w:bCs w:val="0"/>
                <w:color w:val="auto"/>
                <w:sz w:val="24"/>
                <w:szCs w:val="24"/>
                <w:u w:val="none"/>
                <w:shd w:val="clear" w:color="auto" w:fill="FFFFFF"/>
              </w:rPr>
              <w:t>具有国家注册监理工程师（注册专业为市政公用工程）的得1分，在此基础上具有高级工程师的得1分</w:t>
            </w:r>
            <w:r>
              <w:rPr>
                <w:rFonts w:hint="eastAsia" w:ascii="宋体" w:hAnsi="宋体" w:eastAsia="宋体" w:cs="宋体"/>
                <w:b w:val="0"/>
                <w:bCs w:val="0"/>
                <w:color w:val="auto"/>
                <w:sz w:val="24"/>
                <w:szCs w:val="24"/>
                <w:u w:val="none"/>
                <w:shd w:val="clear" w:color="auto" w:fill="FFFFFF"/>
                <w:lang w:eastAsia="zh-CN"/>
              </w:rPr>
              <w:t>，</w:t>
            </w:r>
            <w:r>
              <w:rPr>
                <w:rFonts w:hint="eastAsia" w:ascii="宋体" w:hAnsi="宋体" w:eastAsia="宋体" w:cs="宋体"/>
                <w:b w:val="0"/>
                <w:bCs w:val="0"/>
                <w:color w:val="auto"/>
                <w:sz w:val="24"/>
                <w:szCs w:val="24"/>
                <w:u w:val="none"/>
                <w:shd w:val="clear" w:color="auto" w:fill="FFFFFF"/>
              </w:rPr>
              <w:t>一级建造师（市政公用工程）的得</w:t>
            </w:r>
            <w:r>
              <w:rPr>
                <w:rFonts w:hint="eastAsia" w:ascii="宋体" w:hAnsi="宋体" w:eastAsia="宋体" w:cs="宋体"/>
                <w:b w:val="0"/>
                <w:bCs w:val="0"/>
                <w:color w:val="auto"/>
                <w:sz w:val="24"/>
                <w:szCs w:val="24"/>
                <w:u w:val="none"/>
                <w:shd w:val="clear" w:color="auto" w:fill="FFFFFF"/>
                <w:lang w:val="en-US" w:eastAsia="zh-CN"/>
              </w:rPr>
              <w:t>1</w:t>
            </w:r>
            <w:r>
              <w:rPr>
                <w:rFonts w:hint="eastAsia" w:ascii="宋体" w:hAnsi="宋体" w:eastAsia="宋体" w:cs="宋体"/>
                <w:b w:val="0"/>
                <w:bCs w:val="0"/>
                <w:color w:val="auto"/>
                <w:sz w:val="24"/>
                <w:szCs w:val="24"/>
                <w:u w:val="none"/>
                <w:shd w:val="clear" w:color="auto" w:fill="FFFFFF"/>
              </w:rPr>
              <w:t>分</w:t>
            </w:r>
            <w:r>
              <w:rPr>
                <w:rFonts w:hint="eastAsia" w:ascii="宋体" w:hAnsi="宋体" w:eastAsia="宋体" w:cs="宋体"/>
                <w:b w:val="0"/>
                <w:bCs w:val="0"/>
                <w:color w:val="auto"/>
                <w:kern w:val="0"/>
                <w:sz w:val="24"/>
                <w:szCs w:val="24"/>
                <w:u w:val="none"/>
              </w:rPr>
              <w:t>。最高得3分。</w:t>
            </w:r>
          </w:p>
          <w:p w14:paraId="608F8170">
            <w:pPr>
              <w:widowControl/>
              <w:spacing w:line="460" w:lineRule="exact"/>
              <w:ind w:firstLine="480" w:firstLineChars="200"/>
              <w:jc w:val="left"/>
              <w:rPr>
                <w:rFonts w:hint="eastAsia" w:ascii="宋体" w:hAnsi="宋体" w:eastAsia="宋体" w:cs="宋体"/>
                <w:b w:val="0"/>
                <w:bCs w:val="0"/>
                <w:color w:val="auto"/>
                <w:kern w:val="0"/>
                <w:sz w:val="24"/>
                <w:szCs w:val="24"/>
                <w:u w:val="none"/>
              </w:rPr>
            </w:pPr>
            <w:r>
              <w:rPr>
                <w:rFonts w:hint="eastAsia" w:ascii="宋体" w:hAnsi="宋体" w:eastAsia="宋体" w:cs="宋体"/>
                <w:b w:val="0"/>
                <w:bCs w:val="0"/>
                <w:color w:val="auto"/>
                <w:kern w:val="0"/>
                <w:sz w:val="24"/>
                <w:szCs w:val="24"/>
                <w:u w:val="none"/>
              </w:rPr>
              <w:t>本项最高得</w:t>
            </w:r>
            <w:r>
              <w:rPr>
                <w:rFonts w:hint="eastAsia" w:ascii="宋体" w:hAnsi="宋体" w:eastAsia="宋体" w:cs="宋体"/>
                <w:b w:val="0"/>
                <w:bCs w:val="0"/>
                <w:color w:val="auto"/>
                <w:kern w:val="0"/>
                <w:sz w:val="24"/>
                <w:szCs w:val="24"/>
                <w:u w:val="none"/>
                <w:lang w:val="en-US" w:eastAsia="zh-CN"/>
              </w:rPr>
              <w:t>3</w:t>
            </w:r>
            <w:r>
              <w:rPr>
                <w:rFonts w:hint="eastAsia" w:ascii="宋体" w:hAnsi="宋体" w:eastAsia="宋体" w:cs="宋体"/>
                <w:b w:val="0"/>
                <w:bCs w:val="0"/>
                <w:color w:val="auto"/>
                <w:kern w:val="0"/>
                <w:sz w:val="24"/>
                <w:szCs w:val="24"/>
                <w:u w:val="none"/>
              </w:rPr>
              <w:t>分。</w:t>
            </w:r>
          </w:p>
          <w:p w14:paraId="3872B9DA">
            <w:pPr>
              <w:spacing w:line="360" w:lineRule="auto"/>
              <w:ind w:firstLine="480"/>
              <w:rPr>
                <w:rFonts w:hint="eastAsia" w:ascii="宋体" w:hAnsi="宋体" w:eastAsia="宋体" w:cs="宋体"/>
                <w:kern w:val="0"/>
                <w:sz w:val="24"/>
                <w:szCs w:val="24"/>
                <w:u w:val="none"/>
              </w:rPr>
            </w:pPr>
            <w:r>
              <w:rPr>
                <w:rFonts w:hint="eastAsia" w:ascii="宋体" w:hAnsi="宋体" w:eastAsia="宋体" w:cs="宋体"/>
                <w:kern w:val="0"/>
                <w:sz w:val="24"/>
                <w:szCs w:val="24"/>
                <w:u w:val="none"/>
              </w:rPr>
              <w:t>注：提供相关证书的原件扫描件，</w:t>
            </w:r>
            <w:r>
              <w:rPr>
                <w:rFonts w:hint="eastAsia" w:ascii="宋体" w:hAnsi="宋体" w:eastAsia="宋体" w:cs="宋体"/>
                <w:sz w:val="24"/>
                <w:szCs w:val="24"/>
                <w:u w:val="none"/>
              </w:rPr>
              <w:t>以注册专业为评分依据的提供注册证书原件扫描件，</w:t>
            </w:r>
            <w:r>
              <w:rPr>
                <w:rFonts w:hint="eastAsia" w:ascii="宋体" w:hAnsi="宋体" w:eastAsia="宋体" w:cs="宋体"/>
                <w:kern w:val="0"/>
                <w:sz w:val="24"/>
                <w:szCs w:val="24"/>
                <w:u w:val="none"/>
              </w:rPr>
              <w:t>须提供近半年（任意一个月）投标人为其缴纳的社会保险证明材料。</w:t>
            </w:r>
          </w:p>
        </w:tc>
        <w:tc>
          <w:tcPr>
            <w:tcW w:w="696" w:type="dxa"/>
            <w:tcMar>
              <w:top w:w="100" w:type="dxa"/>
              <w:bottom w:w="100" w:type="dxa"/>
            </w:tcMar>
            <w:vAlign w:val="center"/>
          </w:tcPr>
          <w:p w14:paraId="2450AEA6">
            <w:pPr>
              <w:widowControl/>
              <w:jc w:val="center"/>
              <w:rPr>
                <w:rFonts w:hint="eastAsia" w:ascii="宋体" w:hAnsi="宋体" w:eastAsia="宋体" w:cs="宋体"/>
                <w:kern w:val="0"/>
                <w:sz w:val="24"/>
                <w:szCs w:val="24"/>
                <w:u w:val="none"/>
              </w:rPr>
            </w:pPr>
            <w:r>
              <w:rPr>
                <w:rFonts w:hint="eastAsia" w:ascii="宋体" w:hAnsi="宋体" w:eastAsia="宋体" w:cs="宋体"/>
                <w:kern w:val="0"/>
                <w:sz w:val="24"/>
                <w:szCs w:val="24"/>
                <w:u w:val="none"/>
                <w:lang w:val="en-US" w:eastAsia="zh-CN"/>
              </w:rPr>
              <w:t>3</w:t>
            </w:r>
            <w:r>
              <w:rPr>
                <w:rFonts w:hint="eastAsia" w:ascii="宋体" w:hAnsi="宋体" w:eastAsia="宋体" w:cs="宋体"/>
                <w:kern w:val="0"/>
                <w:sz w:val="24"/>
                <w:szCs w:val="24"/>
                <w:u w:val="none"/>
              </w:rPr>
              <w:t>.0</w:t>
            </w:r>
          </w:p>
        </w:tc>
      </w:tr>
      <w:tr w14:paraId="269628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84" w:type="dxa"/>
            <w:gridSpan w:val="2"/>
            <w:tcMar>
              <w:top w:w="100" w:type="dxa"/>
              <w:bottom w:w="100" w:type="dxa"/>
            </w:tcMar>
            <w:vAlign w:val="center"/>
          </w:tcPr>
          <w:p w14:paraId="0B4CD598">
            <w:pPr>
              <w:widowControl/>
              <w:jc w:val="center"/>
              <w:rPr>
                <w:rFonts w:ascii="宋体" w:hAnsi="宋体" w:eastAsia="宋体" w:cs="宋体"/>
                <w:kern w:val="0"/>
                <w:sz w:val="24"/>
              </w:rPr>
            </w:pPr>
            <w:r>
              <w:rPr>
                <w:rFonts w:hint="eastAsia" w:ascii="宋体" w:hAnsi="宋体" w:eastAsia="宋体" w:cs="宋体"/>
                <w:kern w:val="0"/>
                <w:sz w:val="24"/>
                <w:lang w:eastAsia="en-US"/>
              </w:rPr>
              <w:t>2.</w:t>
            </w:r>
            <w:r>
              <w:rPr>
                <w:rFonts w:hint="eastAsia" w:ascii="宋体" w:hAnsi="宋体" w:eastAsia="宋体" w:cs="宋体"/>
                <w:kern w:val="0"/>
                <w:sz w:val="24"/>
              </w:rPr>
              <w:t>3</w:t>
            </w:r>
          </w:p>
        </w:tc>
        <w:tc>
          <w:tcPr>
            <w:tcW w:w="1134" w:type="dxa"/>
            <w:tcMar>
              <w:top w:w="100" w:type="dxa"/>
              <w:bottom w:w="100" w:type="dxa"/>
            </w:tcMar>
            <w:vAlign w:val="center"/>
          </w:tcPr>
          <w:p w14:paraId="1DAAD78A">
            <w:pPr>
              <w:ind w:firstLine="28"/>
              <w:jc w:val="center"/>
              <w:rPr>
                <w:rFonts w:hint="eastAsia" w:ascii="宋体" w:hAnsi="宋体" w:eastAsia="宋体" w:cs="宋体"/>
                <w:kern w:val="0"/>
                <w:sz w:val="24"/>
                <w:szCs w:val="24"/>
                <w:u w:val="none"/>
              </w:rPr>
            </w:pPr>
            <w:r>
              <w:rPr>
                <w:rFonts w:hint="eastAsia" w:ascii="宋体" w:hAnsi="宋体" w:eastAsia="宋体" w:cs="宋体"/>
                <w:kern w:val="0"/>
                <w:sz w:val="24"/>
                <w:szCs w:val="24"/>
                <w:u w:val="none"/>
              </w:rPr>
              <w:t>给排水专业监理</w:t>
            </w:r>
          </w:p>
        </w:tc>
        <w:tc>
          <w:tcPr>
            <w:tcW w:w="6784" w:type="dxa"/>
            <w:tcMar>
              <w:top w:w="100" w:type="dxa"/>
              <w:bottom w:w="100" w:type="dxa"/>
            </w:tcMar>
            <w:vAlign w:val="center"/>
          </w:tcPr>
          <w:p w14:paraId="26B0FCD5">
            <w:pPr>
              <w:widowControl/>
              <w:spacing w:line="460" w:lineRule="exact"/>
              <w:ind w:left="355"/>
              <w:jc w:val="left"/>
              <w:rPr>
                <w:rFonts w:hint="eastAsia" w:ascii="宋体" w:hAnsi="宋体" w:eastAsia="宋体" w:cs="宋体"/>
                <w:b w:val="0"/>
                <w:bCs w:val="0"/>
                <w:color w:val="auto"/>
                <w:kern w:val="0"/>
                <w:sz w:val="24"/>
                <w:szCs w:val="24"/>
                <w:u w:val="none"/>
              </w:rPr>
            </w:pPr>
            <w:r>
              <w:rPr>
                <w:rFonts w:hint="eastAsia" w:ascii="宋体" w:hAnsi="宋体" w:eastAsia="宋体" w:cs="宋体"/>
                <w:b w:val="0"/>
                <w:bCs w:val="0"/>
                <w:color w:val="auto"/>
                <w:kern w:val="0"/>
                <w:sz w:val="24"/>
                <w:szCs w:val="24"/>
                <w:u w:val="none"/>
              </w:rPr>
              <w:t>给排水工程专业监理工程师1名：</w:t>
            </w:r>
          </w:p>
          <w:p w14:paraId="6EE03C63">
            <w:pPr>
              <w:widowControl/>
              <w:spacing w:line="460" w:lineRule="exact"/>
              <w:ind w:firstLine="480" w:firstLineChars="200"/>
              <w:jc w:val="left"/>
              <w:rPr>
                <w:rFonts w:hint="eastAsia" w:ascii="宋体" w:hAnsi="宋体" w:eastAsia="宋体" w:cs="宋体"/>
                <w:b w:val="0"/>
                <w:bCs w:val="0"/>
                <w:color w:val="auto"/>
                <w:kern w:val="0"/>
                <w:sz w:val="24"/>
                <w:szCs w:val="24"/>
                <w:u w:val="none"/>
              </w:rPr>
            </w:pPr>
            <w:r>
              <w:rPr>
                <w:rFonts w:hint="eastAsia" w:ascii="宋体" w:hAnsi="宋体" w:eastAsia="宋体" w:cs="宋体"/>
                <w:b w:val="0"/>
                <w:bCs w:val="0"/>
                <w:color w:val="auto"/>
                <w:sz w:val="24"/>
                <w:szCs w:val="24"/>
                <w:u w:val="none"/>
                <w:shd w:val="clear" w:color="auto" w:fill="FFFFFF"/>
              </w:rPr>
              <w:t>投标专业监理工程师具有所学专业为给水排水工程</w:t>
            </w:r>
            <w:r>
              <w:rPr>
                <w:rFonts w:hint="eastAsia" w:ascii="宋体" w:hAnsi="宋体" w:eastAsia="宋体" w:cs="宋体"/>
                <w:b w:val="0"/>
                <w:bCs w:val="0"/>
                <w:color w:val="auto"/>
                <w:sz w:val="24"/>
                <w:szCs w:val="24"/>
                <w:u w:val="none"/>
                <w:shd w:val="clear" w:color="auto" w:fill="FFFFFF"/>
                <w:lang w:eastAsia="zh-CN"/>
              </w:rPr>
              <w:t>，</w:t>
            </w:r>
            <w:r>
              <w:rPr>
                <w:rFonts w:hint="eastAsia" w:ascii="宋体" w:hAnsi="宋体" w:eastAsia="宋体" w:cs="宋体"/>
                <w:b w:val="0"/>
                <w:bCs w:val="0"/>
                <w:color w:val="auto"/>
                <w:sz w:val="24"/>
                <w:szCs w:val="24"/>
                <w:u w:val="none"/>
                <w:shd w:val="clear" w:color="auto" w:fill="FFFFFF"/>
              </w:rPr>
              <w:t>且具有国家注册监理工程师（注册专业为市政公用工程）</w:t>
            </w:r>
            <w:r>
              <w:rPr>
                <w:rFonts w:hint="eastAsia" w:ascii="宋体" w:hAnsi="宋体" w:eastAsia="宋体" w:cs="宋体"/>
                <w:b w:val="0"/>
                <w:bCs w:val="0"/>
                <w:color w:val="auto"/>
                <w:sz w:val="24"/>
                <w:szCs w:val="24"/>
                <w:u w:val="none"/>
                <w:shd w:val="clear" w:color="auto" w:fill="FFFFFF"/>
                <w:lang w:val="en-US" w:eastAsia="zh-CN"/>
              </w:rPr>
              <w:t>得1分</w:t>
            </w:r>
            <w:r>
              <w:rPr>
                <w:rFonts w:hint="eastAsia" w:ascii="宋体" w:hAnsi="宋体" w:eastAsia="宋体" w:cs="宋体"/>
                <w:b w:val="0"/>
                <w:bCs w:val="0"/>
                <w:color w:val="auto"/>
                <w:sz w:val="24"/>
                <w:szCs w:val="24"/>
                <w:u w:val="none"/>
                <w:shd w:val="clear" w:color="auto" w:fill="FFFFFF"/>
                <w:lang w:eastAsia="zh-CN"/>
              </w:rPr>
              <w:t>，</w:t>
            </w:r>
            <w:r>
              <w:rPr>
                <w:rFonts w:hint="eastAsia" w:ascii="宋体" w:hAnsi="宋体" w:eastAsia="宋体" w:cs="宋体"/>
                <w:b w:val="0"/>
                <w:bCs w:val="0"/>
                <w:color w:val="auto"/>
                <w:sz w:val="24"/>
                <w:szCs w:val="24"/>
                <w:u w:val="none"/>
                <w:shd w:val="clear" w:color="auto" w:fill="FFFFFF"/>
              </w:rPr>
              <w:t>在此基础上</w:t>
            </w:r>
            <w:r>
              <w:rPr>
                <w:rFonts w:hint="eastAsia" w:ascii="宋体" w:hAnsi="宋体" w:eastAsia="宋体" w:cs="宋体"/>
                <w:b w:val="0"/>
                <w:bCs w:val="0"/>
                <w:color w:val="auto"/>
                <w:kern w:val="0"/>
                <w:sz w:val="24"/>
                <w:szCs w:val="24"/>
                <w:u w:val="none"/>
              </w:rPr>
              <w:t>具有</w:t>
            </w:r>
            <w:r>
              <w:rPr>
                <w:rFonts w:hint="eastAsia" w:ascii="宋体" w:hAnsi="宋体" w:eastAsia="宋体" w:cs="宋体"/>
                <w:b w:val="0"/>
                <w:bCs w:val="0"/>
                <w:color w:val="auto"/>
                <w:sz w:val="24"/>
                <w:szCs w:val="24"/>
                <w:u w:val="none"/>
                <w:shd w:val="clear" w:color="auto" w:fill="FFFFFF"/>
                <w:lang w:val="en-US" w:eastAsia="zh-CN"/>
              </w:rPr>
              <w:t>国家</w:t>
            </w:r>
            <w:r>
              <w:rPr>
                <w:rFonts w:hint="eastAsia" w:ascii="宋体" w:hAnsi="宋体" w:eastAsia="宋体" w:cs="宋体"/>
                <w:b w:val="0"/>
                <w:bCs w:val="0"/>
                <w:color w:val="auto"/>
                <w:sz w:val="24"/>
                <w:szCs w:val="24"/>
                <w:u w:val="none"/>
                <w:shd w:val="clear" w:color="auto" w:fill="FFFFFF"/>
              </w:rPr>
              <w:t>一级注册造价工程师（安装工程）</w:t>
            </w:r>
            <w:r>
              <w:rPr>
                <w:rFonts w:hint="eastAsia" w:ascii="宋体" w:hAnsi="宋体" w:eastAsia="宋体" w:cs="宋体"/>
                <w:b w:val="0"/>
                <w:bCs w:val="0"/>
                <w:color w:val="auto"/>
                <w:sz w:val="24"/>
                <w:szCs w:val="24"/>
                <w:u w:val="none"/>
                <w:shd w:val="clear" w:color="auto" w:fill="FFFFFF"/>
                <w:lang w:val="en-US" w:eastAsia="zh-CN"/>
              </w:rPr>
              <w:t>和国家注册公用设备工程师（给水排水）得3</w:t>
            </w:r>
            <w:r>
              <w:rPr>
                <w:rFonts w:hint="eastAsia" w:ascii="宋体" w:hAnsi="宋体" w:eastAsia="宋体" w:cs="宋体"/>
                <w:b w:val="0"/>
                <w:bCs w:val="0"/>
                <w:color w:val="auto"/>
                <w:sz w:val="24"/>
                <w:szCs w:val="24"/>
                <w:u w:val="none"/>
                <w:shd w:val="clear" w:color="auto" w:fill="FFFFFF"/>
              </w:rPr>
              <w:t>分</w:t>
            </w:r>
            <w:r>
              <w:rPr>
                <w:rFonts w:hint="eastAsia" w:ascii="宋体" w:hAnsi="宋体" w:eastAsia="宋体" w:cs="宋体"/>
                <w:b w:val="0"/>
                <w:bCs w:val="0"/>
                <w:color w:val="auto"/>
                <w:kern w:val="0"/>
                <w:sz w:val="24"/>
                <w:szCs w:val="24"/>
                <w:u w:val="none"/>
              </w:rPr>
              <w:t>。最高得</w:t>
            </w:r>
            <w:r>
              <w:rPr>
                <w:rFonts w:hint="eastAsia" w:ascii="宋体" w:hAnsi="宋体" w:eastAsia="宋体" w:cs="宋体"/>
                <w:b w:val="0"/>
                <w:bCs w:val="0"/>
                <w:color w:val="auto"/>
                <w:kern w:val="0"/>
                <w:sz w:val="24"/>
                <w:szCs w:val="24"/>
                <w:u w:val="none"/>
                <w:lang w:val="en-US" w:eastAsia="zh-CN"/>
              </w:rPr>
              <w:t>4</w:t>
            </w:r>
            <w:r>
              <w:rPr>
                <w:rFonts w:hint="eastAsia" w:ascii="宋体" w:hAnsi="宋体" w:eastAsia="宋体" w:cs="宋体"/>
                <w:b w:val="0"/>
                <w:bCs w:val="0"/>
                <w:color w:val="auto"/>
                <w:kern w:val="0"/>
                <w:sz w:val="24"/>
                <w:szCs w:val="24"/>
                <w:u w:val="none"/>
              </w:rPr>
              <w:t>分。</w:t>
            </w:r>
          </w:p>
          <w:p w14:paraId="40B780B3">
            <w:pPr>
              <w:spacing w:line="360" w:lineRule="auto"/>
              <w:ind w:firstLine="480"/>
              <w:rPr>
                <w:rFonts w:hint="eastAsia" w:ascii="宋体" w:hAnsi="宋体" w:eastAsia="宋体" w:cs="宋体"/>
                <w:kern w:val="0"/>
                <w:sz w:val="24"/>
                <w:szCs w:val="24"/>
                <w:u w:val="none"/>
              </w:rPr>
            </w:pPr>
            <w:r>
              <w:rPr>
                <w:rFonts w:hint="eastAsia" w:ascii="宋体" w:hAnsi="宋体" w:eastAsia="宋体" w:cs="宋体"/>
                <w:kern w:val="0"/>
                <w:sz w:val="24"/>
                <w:szCs w:val="24"/>
                <w:u w:val="none"/>
              </w:rPr>
              <w:t>注：提供相关证书的原件扫描件，</w:t>
            </w:r>
            <w:r>
              <w:rPr>
                <w:rFonts w:hint="eastAsia" w:ascii="宋体" w:hAnsi="宋体" w:eastAsia="宋体" w:cs="宋体"/>
                <w:sz w:val="24"/>
                <w:szCs w:val="24"/>
                <w:u w:val="none"/>
              </w:rPr>
              <w:t>以注册专业为评分依据的提供注册证书原件扫描件，</w:t>
            </w:r>
            <w:r>
              <w:rPr>
                <w:rFonts w:hint="eastAsia" w:ascii="宋体" w:hAnsi="宋体" w:eastAsia="宋体" w:cs="宋体"/>
                <w:kern w:val="0"/>
                <w:sz w:val="24"/>
                <w:szCs w:val="24"/>
                <w:u w:val="none"/>
              </w:rPr>
              <w:t>须提供近半年（任意一个月）投标人为其缴纳的社会保险证明材料。</w:t>
            </w:r>
          </w:p>
        </w:tc>
        <w:tc>
          <w:tcPr>
            <w:tcW w:w="696" w:type="dxa"/>
            <w:tcMar>
              <w:top w:w="100" w:type="dxa"/>
              <w:bottom w:w="100" w:type="dxa"/>
            </w:tcMar>
            <w:vAlign w:val="center"/>
          </w:tcPr>
          <w:p w14:paraId="5AD132C9">
            <w:pPr>
              <w:widowControl/>
              <w:jc w:val="center"/>
              <w:rPr>
                <w:rFonts w:hint="eastAsia" w:ascii="宋体" w:hAnsi="宋体" w:eastAsia="宋体" w:cs="宋体"/>
                <w:kern w:val="0"/>
                <w:sz w:val="24"/>
                <w:szCs w:val="24"/>
                <w:u w:val="none"/>
                <w:lang w:eastAsia="en-US"/>
              </w:rPr>
            </w:pPr>
            <w:r>
              <w:rPr>
                <w:rFonts w:hint="eastAsia" w:ascii="宋体" w:hAnsi="宋体" w:eastAsia="宋体" w:cs="宋体"/>
                <w:kern w:val="0"/>
                <w:sz w:val="24"/>
                <w:szCs w:val="24"/>
                <w:u w:val="none"/>
              </w:rPr>
              <w:t>4</w:t>
            </w:r>
            <w:r>
              <w:rPr>
                <w:rFonts w:hint="eastAsia" w:ascii="宋体" w:hAnsi="宋体" w:eastAsia="宋体" w:cs="宋体"/>
                <w:kern w:val="0"/>
                <w:sz w:val="24"/>
                <w:szCs w:val="24"/>
                <w:u w:val="none"/>
                <w:lang w:eastAsia="en-US"/>
              </w:rPr>
              <w:t>.0</w:t>
            </w:r>
          </w:p>
        </w:tc>
      </w:tr>
      <w:tr w14:paraId="7AA6AA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84" w:type="dxa"/>
            <w:gridSpan w:val="2"/>
            <w:tcMar>
              <w:top w:w="100" w:type="dxa"/>
              <w:bottom w:w="100" w:type="dxa"/>
            </w:tcMar>
            <w:vAlign w:val="center"/>
          </w:tcPr>
          <w:p w14:paraId="0FE4D67B">
            <w:pPr>
              <w:widowControl/>
              <w:jc w:val="center"/>
              <w:rPr>
                <w:rFonts w:ascii="宋体" w:hAnsi="宋体" w:eastAsia="宋体" w:cs="宋体"/>
                <w:kern w:val="0"/>
                <w:sz w:val="24"/>
              </w:rPr>
            </w:pPr>
            <w:r>
              <w:rPr>
                <w:rFonts w:hint="eastAsia" w:ascii="宋体" w:hAnsi="宋体" w:eastAsia="宋体" w:cs="宋体"/>
                <w:kern w:val="0"/>
                <w:sz w:val="24"/>
              </w:rPr>
              <w:t>2.4</w:t>
            </w:r>
          </w:p>
        </w:tc>
        <w:tc>
          <w:tcPr>
            <w:tcW w:w="1134" w:type="dxa"/>
            <w:tcMar>
              <w:top w:w="100" w:type="dxa"/>
              <w:bottom w:w="100" w:type="dxa"/>
            </w:tcMar>
            <w:vAlign w:val="center"/>
          </w:tcPr>
          <w:p w14:paraId="5904D55E">
            <w:pPr>
              <w:ind w:firstLine="28"/>
              <w:jc w:val="center"/>
              <w:rPr>
                <w:rFonts w:hint="eastAsia" w:ascii="宋体" w:hAnsi="宋体" w:eastAsia="宋体" w:cs="宋体"/>
                <w:kern w:val="0"/>
                <w:sz w:val="24"/>
                <w:szCs w:val="24"/>
                <w:u w:val="none"/>
              </w:rPr>
            </w:pPr>
            <w:r>
              <w:rPr>
                <w:rFonts w:hint="eastAsia" w:ascii="宋体" w:hAnsi="宋体" w:eastAsia="宋体" w:cs="宋体"/>
                <w:kern w:val="0"/>
                <w:sz w:val="24"/>
                <w:szCs w:val="24"/>
                <w:u w:val="none"/>
              </w:rPr>
              <w:t>安全专业监理</w:t>
            </w:r>
          </w:p>
        </w:tc>
        <w:tc>
          <w:tcPr>
            <w:tcW w:w="6784" w:type="dxa"/>
            <w:tcMar>
              <w:top w:w="100" w:type="dxa"/>
              <w:bottom w:w="100" w:type="dxa"/>
            </w:tcMar>
            <w:vAlign w:val="center"/>
          </w:tcPr>
          <w:p w14:paraId="2B7986F8">
            <w:pPr>
              <w:widowControl/>
              <w:spacing w:line="460" w:lineRule="exact"/>
              <w:ind w:left="20" w:firstLine="400"/>
              <w:jc w:val="left"/>
              <w:rPr>
                <w:rFonts w:hint="eastAsia" w:ascii="宋体" w:hAnsi="宋体" w:eastAsia="宋体" w:cs="宋体"/>
                <w:b w:val="0"/>
                <w:bCs w:val="0"/>
                <w:color w:val="auto"/>
                <w:kern w:val="0"/>
                <w:sz w:val="24"/>
                <w:szCs w:val="24"/>
                <w:u w:val="none"/>
              </w:rPr>
            </w:pPr>
            <w:r>
              <w:rPr>
                <w:rFonts w:hint="eastAsia" w:ascii="宋体" w:hAnsi="宋体" w:eastAsia="宋体" w:cs="宋体"/>
                <w:b w:val="0"/>
                <w:bCs w:val="0"/>
                <w:color w:val="auto"/>
                <w:kern w:val="0"/>
                <w:sz w:val="24"/>
                <w:szCs w:val="24"/>
                <w:u w:val="none"/>
              </w:rPr>
              <w:t>安全专业监理工程师1名：</w:t>
            </w:r>
          </w:p>
          <w:p w14:paraId="703BAC3C">
            <w:pPr>
              <w:widowControl/>
              <w:spacing w:line="460" w:lineRule="exact"/>
              <w:ind w:firstLine="480" w:firstLineChars="200"/>
              <w:jc w:val="left"/>
              <w:rPr>
                <w:rFonts w:hint="eastAsia" w:ascii="宋体" w:hAnsi="宋体" w:eastAsia="宋体" w:cs="宋体"/>
                <w:b w:val="0"/>
                <w:bCs w:val="0"/>
                <w:color w:val="auto"/>
                <w:kern w:val="0"/>
                <w:sz w:val="24"/>
                <w:szCs w:val="24"/>
                <w:u w:val="none"/>
              </w:rPr>
            </w:pPr>
            <w:r>
              <w:rPr>
                <w:rFonts w:hint="eastAsia" w:ascii="宋体" w:hAnsi="宋体" w:eastAsia="宋体" w:cs="宋体"/>
                <w:b w:val="0"/>
                <w:bCs w:val="0"/>
                <w:color w:val="auto"/>
                <w:sz w:val="24"/>
                <w:szCs w:val="24"/>
                <w:u w:val="none"/>
                <w:shd w:val="clear" w:color="auto" w:fill="FFFFFF"/>
              </w:rPr>
              <w:t>投标专业监理工程师具有</w:t>
            </w:r>
            <w:r>
              <w:rPr>
                <w:rFonts w:hint="eastAsia" w:ascii="宋体" w:hAnsi="宋体" w:eastAsia="宋体" w:cs="宋体"/>
                <w:b w:val="0"/>
                <w:bCs w:val="0"/>
                <w:color w:val="auto"/>
                <w:kern w:val="0"/>
                <w:sz w:val="24"/>
                <w:szCs w:val="24"/>
                <w:u w:val="none"/>
              </w:rPr>
              <w:t>国家注册监理工程师</w:t>
            </w:r>
            <w:r>
              <w:rPr>
                <w:rFonts w:hint="eastAsia" w:ascii="宋体" w:hAnsi="宋体" w:eastAsia="宋体" w:cs="宋体"/>
                <w:b w:val="0"/>
                <w:bCs w:val="0"/>
                <w:color w:val="auto"/>
                <w:kern w:val="0"/>
                <w:sz w:val="24"/>
                <w:szCs w:val="24"/>
                <w:u w:val="none"/>
                <w:lang w:val="en-US" w:eastAsia="zh-CN"/>
              </w:rPr>
              <w:t>的得1分，</w:t>
            </w:r>
            <w:r>
              <w:rPr>
                <w:rFonts w:hint="eastAsia" w:ascii="宋体" w:hAnsi="宋体" w:eastAsia="宋体" w:cs="宋体"/>
                <w:b w:val="0"/>
                <w:bCs w:val="0"/>
                <w:color w:val="auto"/>
                <w:sz w:val="24"/>
                <w:szCs w:val="24"/>
                <w:u w:val="none"/>
                <w:shd w:val="clear" w:color="auto" w:fill="FFFFFF"/>
              </w:rPr>
              <w:t>在此</w:t>
            </w:r>
            <w:r>
              <w:rPr>
                <w:rFonts w:hint="eastAsia" w:ascii="宋体" w:hAnsi="宋体" w:eastAsia="宋体" w:cs="宋体"/>
                <w:b w:val="0"/>
                <w:bCs w:val="0"/>
                <w:color w:val="auto"/>
                <w:sz w:val="24"/>
                <w:szCs w:val="24"/>
                <w:u w:val="none"/>
                <w:shd w:val="clear" w:color="auto" w:fill="FFFFFF"/>
                <w:lang w:val="en-US" w:eastAsia="zh-CN"/>
              </w:rPr>
              <w:t>基础上</w:t>
            </w:r>
            <w:r>
              <w:rPr>
                <w:rFonts w:hint="eastAsia" w:ascii="宋体" w:hAnsi="宋体" w:eastAsia="宋体" w:cs="宋体"/>
                <w:b w:val="0"/>
                <w:bCs w:val="0"/>
                <w:color w:val="auto"/>
                <w:kern w:val="0"/>
                <w:sz w:val="24"/>
                <w:szCs w:val="24"/>
                <w:u w:val="none"/>
                <w:lang w:val="en-US" w:eastAsia="zh-CN"/>
              </w:rPr>
              <w:t>具有</w:t>
            </w:r>
            <w:r>
              <w:rPr>
                <w:rFonts w:hint="eastAsia" w:ascii="宋体" w:hAnsi="宋体" w:eastAsia="宋体" w:cs="宋体"/>
                <w:b w:val="0"/>
                <w:bCs w:val="0"/>
                <w:color w:val="auto"/>
                <w:kern w:val="0"/>
                <w:sz w:val="24"/>
                <w:szCs w:val="24"/>
                <w:u w:val="none"/>
              </w:rPr>
              <w:t>国家注册安全工程师证书（注册专业：建筑施工安全）的得1分</w:t>
            </w:r>
            <w:r>
              <w:rPr>
                <w:rFonts w:hint="eastAsia" w:ascii="宋体" w:hAnsi="宋体" w:eastAsia="宋体" w:cs="宋体"/>
                <w:b w:val="0"/>
                <w:bCs w:val="0"/>
                <w:color w:val="auto"/>
                <w:kern w:val="0"/>
                <w:sz w:val="24"/>
                <w:szCs w:val="24"/>
                <w:u w:val="none"/>
                <w:lang w:eastAsia="zh-CN"/>
              </w:rPr>
              <w:t>、</w:t>
            </w:r>
            <w:r>
              <w:rPr>
                <w:rFonts w:hint="eastAsia" w:ascii="宋体" w:hAnsi="宋体" w:eastAsia="宋体" w:cs="宋体"/>
                <w:b w:val="0"/>
                <w:bCs w:val="0"/>
                <w:color w:val="auto"/>
                <w:kern w:val="0"/>
                <w:sz w:val="24"/>
                <w:szCs w:val="24"/>
                <w:u w:val="none"/>
              </w:rPr>
              <w:t>具有高级工程师的得1分。最高得</w:t>
            </w:r>
            <w:r>
              <w:rPr>
                <w:rFonts w:hint="eastAsia" w:ascii="宋体" w:hAnsi="宋体" w:eastAsia="宋体" w:cs="宋体"/>
                <w:b w:val="0"/>
                <w:bCs w:val="0"/>
                <w:color w:val="auto"/>
                <w:kern w:val="0"/>
                <w:sz w:val="24"/>
                <w:szCs w:val="24"/>
                <w:u w:val="none"/>
                <w:lang w:val="en-US" w:eastAsia="zh-CN"/>
              </w:rPr>
              <w:t>3</w:t>
            </w:r>
            <w:r>
              <w:rPr>
                <w:rFonts w:hint="eastAsia" w:ascii="宋体" w:hAnsi="宋体" w:eastAsia="宋体" w:cs="宋体"/>
                <w:b w:val="0"/>
                <w:bCs w:val="0"/>
                <w:color w:val="auto"/>
                <w:kern w:val="0"/>
                <w:sz w:val="24"/>
                <w:szCs w:val="24"/>
                <w:u w:val="none"/>
              </w:rPr>
              <w:t>分。</w:t>
            </w:r>
          </w:p>
          <w:p w14:paraId="582241CF">
            <w:pPr>
              <w:spacing w:line="360" w:lineRule="auto"/>
              <w:ind w:firstLine="480"/>
              <w:rPr>
                <w:rFonts w:hint="eastAsia" w:ascii="宋体" w:hAnsi="宋体" w:eastAsia="宋体" w:cs="宋体"/>
                <w:kern w:val="0"/>
                <w:sz w:val="24"/>
                <w:szCs w:val="24"/>
                <w:u w:val="none"/>
              </w:rPr>
            </w:pPr>
            <w:r>
              <w:rPr>
                <w:rFonts w:hint="eastAsia" w:ascii="宋体" w:hAnsi="宋体" w:eastAsia="宋体" w:cs="宋体"/>
                <w:kern w:val="0"/>
                <w:sz w:val="24"/>
                <w:szCs w:val="24"/>
                <w:u w:val="none"/>
              </w:rPr>
              <w:t>注：提供相关证书的原件扫描件，</w:t>
            </w:r>
            <w:r>
              <w:rPr>
                <w:rFonts w:hint="eastAsia" w:ascii="宋体" w:hAnsi="宋体" w:eastAsia="宋体" w:cs="宋体"/>
                <w:sz w:val="24"/>
                <w:szCs w:val="24"/>
                <w:u w:val="none"/>
              </w:rPr>
              <w:t>以注册专业为评分依据的提供注册证书原件扫描件，</w:t>
            </w:r>
            <w:r>
              <w:rPr>
                <w:rFonts w:hint="eastAsia" w:ascii="宋体" w:hAnsi="宋体" w:eastAsia="宋体" w:cs="宋体"/>
                <w:kern w:val="0"/>
                <w:sz w:val="24"/>
                <w:szCs w:val="24"/>
                <w:u w:val="none"/>
              </w:rPr>
              <w:t>须提供近半年（任意一个月）投标人为其缴纳的社会保险证明材料。</w:t>
            </w:r>
          </w:p>
        </w:tc>
        <w:tc>
          <w:tcPr>
            <w:tcW w:w="696" w:type="dxa"/>
            <w:tcMar>
              <w:top w:w="100" w:type="dxa"/>
              <w:bottom w:w="100" w:type="dxa"/>
            </w:tcMar>
            <w:vAlign w:val="center"/>
          </w:tcPr>
          <w:p w14:paraId="35438734">
            <w:pPr>
              <w:widowControl/>
              <w:jc w:val="center"/>
              <w:rPr>
                <w:rFonts w:hint="eastAsia" w:ascii="宋体" w:hAnsi="宋体" w:eastAsia="宋体" w:cs="宋体"/>
                <w:kern w:val="0"/>
                <w:sz w:val="24"/>
                <w:szCs w:val="24"/>
                <w:u w:val="none"/>
              </w:rPr>
            </w:pPr>
            <w:r>
              <w:rPr>
                <w:rFonts w:hint="eastAsia" w:ascii="宋体" w:hAnsi="宋体" w:eastAsia="宋体" w:cs="宋体"/>
                <w:kern w:val="0"/>
                <w:sz w:val="24"/>
                <w:szCs w:val="24"/>
                <w:u w:val="none"/>
              </w:rPr>
              <w:t>3.0</w:t>
            </w:r>
          </w:p>
        </w:tc>
      </w:tr>
      <w:tr w14:paraId="10FB85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84" w:type="dxa"/>
            <w:gridSpan w:val="2"/>
            <w:tcMar>
              <w:top w:w="100" w:type="dxa"/>
              <w:bottom w:w="100" w:type="dxa"/>
            </w:tcMar>
            <w:vAlign w:val="center"/>
          </w:tcPr>
          <w:p w14:paraId="606FC6D7">
            <w:pPr>
              <w:widowControl/>
              <w:jc w:val="center"/>
              <w:rPr>
                <w:rFonts w:hint="default" w:ascii="宋体" w:hAnsi="宋体" w:eastAsia="宋体" w:cs="宋体"/>
                <w:kern w:val="0"/>
                <w:sz w:val="24"/>
                <w:lang w:val="en-US" w:eastAsia="zh-CN"/>
              </w:rPr>
            </w:pPr>
            <w:r>
              <w:rPr>
                <w:rFonts w:hint="eastAsia" w:ascii="宋体" w:hAnsi="宋体" w:eastAsia="宋体" w:cs="宋体"/>
                <w:kern w:val="0"/>
                <w:sz w:val="24"/>
                <w:lang w:val="en-US" w:eastAsia="zh-CN"/>
              </w:rPr>
              <w:t>2.5</w:t>
            </w:r>
          </w:p>
        </w:tc>
        <w:tc>
          <w:tcPr>
            <w:tcW w:w="1134" w:type="dxa"/>
            <w:tcMar>
              <w:top w:w="100" w:type="dxa"/>
              <w:bottom w:w="100" w:type="dxa"/>
            </w:tcMar>
            <w:vAlign w:val="center"/>
          </w:tcPr>
          <w:p w14:paraId="46EE5A15">
            <w:pPr>
              <w:ind w:firstLine="28"/>
              <w:jc w:val="center"/>
              <w:rPr>
                <w:rFonts w:hint="eastAsia" w:ascii="宋体" w:hAnsi="宋体" w:eastAsia="宋体" w:cs="宋体"/>
                <w:kern w:val="0"/>
                <w:sz w:val="24"/>
                <w:szCs w:val="24"/>
                <w:u w:val="none"/>
              </w:rPr>
            </w:pPr>
            <w:r>
              <w:rPr>
                <w:rFonts w:hint="eastAsia" w:ascii="宋体" w:hAnsi="宋体" w:eastAsia="宋体" w:cs="宋体"/>
                <w:b w:val="0"/>
                <w:bCs w:val="0"/>
                <w:color w:val="auto"/>
                <w:kern w:val="0"/>
                <w:sz w:val="24"/>
                <w:szCs w:val="24"/>
                <w:u w:val="none"/>
              </w:rPr>
              <w:t>造价专业监理工程师</w:t>
            </w:r>
          </w:p>
        </w:tc>
        <w:tc>
          <w:tcPr>
            <w:tcW w:w="6784" w:type="dxa"/>
            <w:tcMar>
              <w:top w:w="100" w:type="dxa"/>
              <w:bottom w:w="100" w:type="dxa"/>
            </w:tcMar>
            <w:vAlign w:val="center"/>
          </w:tcPr>
          <w:p w14:paraId="0973CEFF">
            <w:pPr>
              <w:widowControl/>
              <w:spacing w:line="460" w:lineRule="exact"/>
              <w:ind w:firstLine="480" w:firstLineChars="200"/>
              <w:jc w:val="left"/>
              <w:rPr>
                <w:rFonts w:hint="eastAsia" w:ascii="宋体" w:hAnsi="宋体" w:eastAsia="宋体" w:cs="宋体"/>
                <w:b w:val="0"/>
                <w:bCs w:val="0"/>
                <w:color w:val="auto"/>
                <w:kern w:val="0"/>
                <w:sz w:val="24"/>
                <w:szCs w:val="24"/>
                <w:u w:val="none"/>
              </w:rPr>
            </w:pPr>
            <w:r>
              <w:rPr>
                <w:rFonts w:hint="eastAsia" w:ascii="宋体" w:hAnsi="宋体" w:eastAsia="宋体" w:cs="宋体"/>
                <w:b w:val="0"/>
                <w:bCs w:val="0"/>
                <w:color w:val="auto"/>
                <w:kern w:val="0"/>
                <w:sz w:val="24"/>
                <w:szCs w:val="24"/>
                <w:u w:val="none"/>
              </w:rPr>
              <w:t>造价专业监理工程师1名：</w:t>
            </w:r>
          </w:p>
          <w:p w14:paraId="3AD8B553">
            <w:pPr>
              <w:widowControl/>
              <w:spacing w:line="460" w:lineRule="exact"/>
              <w:ind w:firstLine="480" w:firstLineChars="200"/>
              <w:jc w:val="left"/>
              <w:rPr>
                <w:rFonts w:hint="eastAsia" w:ascii="宋体" w:hAnsi="宋体" w:eastAsia="宋体" w:cs="宋体"/>
                <w:b w:val="0"/>
                <w:bCs w:val="0"/>
                <w:color w:val="auto"/>
                <w:kern w:val="0"/>
                <w:sz w:val="24"/>
                <w:szCs w:val="24"/>
                <w:u w:val="none"/>
              </w:rPr>
            </w:pPr>
            <w:r>
              <w:rPr>
                <w:rFonts w:hint="eastAsia" w:ascii="宋体" w:hAnsi="宋体" w:eastAsia="宋体" w:cs="宋体"/>
                <w:b w:val="0"/>
                <w:bCs w:val="0"/>
                <w:color w:val="auto"/>
                <w:sz w:val="24"/>
                <w:szCs w:val="24"/>
                <w:u w:val="none"/>
                <w:shd w:val="clear" w:color="auto" w:fill="FFFFFF"/>
              </w:rPr>
              <w:t>投标专业监理工程师具有</w:t>
            </w:r>
            <w:r>
              <w:rPr>
                <w:rFonts w:hint="eastAsia" w:ascii="宋体" w:hAnsi="宋体" w:eastAsia="宋体" w:cs="宋体"/>
                <w:b w:val="0"/>
                <w:bCs w:val="0"/>
                <w:color w:val="auto"/>
                <w:kern w:val="0"/>
                <w:sz w:val="24"/>
                <w:szCs w:val="24"/>
                <w:u w:val="none"/>
              </w:rPr>
              <w:t>国家注册监理工程师和一级建造师的得</w:t>
            </w:r>
            <w:r>
              <w:rPr>
                <w:rFonts w:hint="eastAsia" w:ascii="宋体" w:hAnsi="宋体" w:eastAsia="宋体" w:cs="宋体"/>
                <w:b w:val="0"/>
                <w:bCs w:val="0"/>
                <w:color w:val="auto"/>
                <w:kern w:val="0"/>
                <w:sz w:val="24"/>
                <w:szCs w:val="24"/>
                <w:u w:val="none"/>
                <w:lang w:val="en-US" w:eastAsia="zh-CN"/>
              </w:rPr>
              <w:t>1</w:t>
            </w:r>
            <w:r>
              <w:rPr>
                <w:rFonts w:hint="eastAsia" w:ascii="宋体" w:hAnsi="宋体" w:eastAsia="宋体" w:cs="宋体"/>
                <w:b w:val="0"/>
                <w:bCs w:val="0"/>
                <w:color w:val="auto"/>
                <w:kern w:val="0"/>
                <w:sz w:val="24"/>
                <w:szCs w:val="24"/>
                <w:u w:val="none"/>
              </w:rPr>
              <w:t>分；</w:t>
            </w:r>
            <w:r>
              <w:rPr>
                <w:rFonts w:hint="eastAsia" w:ascii="宋体" w:hAnsi="宋体" w:eastAsia="宋体" w:cs="宋体"/>
                <w:b w:val="0"/>
                <w:bCs w:val="0"/>
                <w:color w:val="auto"/>
                <w:sz w:val="24"/>
                <w:szCs w:val="24"/>
                <w:u w:val="none"/>
                <w:shd w:val="clear" w:color="auto" w:fill="FFFFFF"/>
              </w:rPr>
              <w:t>在此基础上</w:t>
            </w:r>
            <w:r>
              <w:rPr>
                <w:rFonts w:hint="eastAsia" w:ascii="宋体" w:hAnsi="宋体" w:eastAsia="宋体" w:cs="宋体"/>
                <w:b w:val="0"/>
                <w:bCs w:val="0"/>
                <w:color w:val="auto"/>
                <w:kern w:val="0"/>
                <w:sz w:val="24"/>
                <w:szCs w:val="24"/>
                <w:u w:val="none"/>
              </w:rPr>
              <w:t>具有高级工程师、</w:t>
            </w:r>
            <w:r>
              <w:rPr>
                <w:rFonts w:hint="eastAsia" w:ascii="宋体" w:hAnsi="宋体" w:eastAsia="宋体" w:cs="宋体"/>
                <w:b w:val="0"/>
                <w:bCs w:val="0"/>
                <w:color w:val="auto"/>
                <w:kern w:val="0"/>
                <w:sz w:val="24"/>
                <w:szCs w:val="24"/>
                <w:u w:val="none"/>
                <w:lang w:val="en-US" w:eastAsia="zh-CN"/>
              </w:rPr>
              <w:t>国家</w:t>
            </w:r>
            <w:r>
              <w:rPr>
                <w:rFonts w:hint="eastAsia" w:ascii="宋体" w:hAnsi="宋体" w:eastAsia="宋体" w:cs="宋体"/>
                <w:b w:val="0"/>
                <w:bCs w:val="0"/>
                <w:color w:val="auto"/>
                <w:kern w:val="0"/>
                <w:sz w:val="24"/>
                <w:szCs w:val="24"/>
                <w:u w:val="none"/>
              </w:rPr>
              <w:t>一级注册造价工程师（土木建筑、安装工程）的得2分。最高得</w:t>
            </w:r>
            <w:r>
              <w:rPr>
                <w:rFonts w:hint="eastAsia" w:ascii="宋体" w:hAnsi="宋体" w:eastAsia="宋体" w:cs="宋体"/>
                <w:b w:val="0"/>
                <w:bCs w:val="0"/>
                <w:color w:val="auto"/>
                <w:kern w:val="0"/>
                <w:sz w:val="24"/>
                <w:szCs w:val="24"/>
                <w:u w:val="none"/>
                <w:lang w:val="en-US" w:eastAsia="zh-CN"/>
              </w:rPr>
              <w:t>3</w:t>
            </w:r>
            <w:r>
              <w:rPr>
                <w:rFonts w:hint="eastAsia" w:ascii="宋体" w:hAnsi="宋体" w:eastAsia="宋体" w:cs="宋体"/>
                <w:b w:val="0"/>
                <w:bCs w:val="0"/>
                <w:color w:val="auto"/>
                <w:kern w:val="0"/>
                <w:sz w:val="24"/>
                <w:szCs w:val="24"/>
                <w:u w:val="none"/>
              </w:rPr>
              <w:t>分。</w:t>
            </w:r>
          </w:p>
          <w:p w14:paraId="1E4C39CF">
            <w:pPr>
              <w:widowControl/>
              <w:spacing w:line="460" w:lineRule="exact"/>
              <w:ind w:firstLine="480" w:firstLineChars="200"/>
              <w:jc w:val="left"/>
              <w:rPr>
                <w:rFonts w:hint="eastAsia" w:ascii="宋体" w:hAnsi="宋体" w:eastAsia="宋体" w:cs="宋体"/>
                <w:kern w:val="0"/>
                <w:sz w:val="24"/>
                <w:szCs w:val="24"/>
                <w:u w:val="none"/>
              </w:rPr>
            </w:pPr>
            <w:r>
              <w:rPr>
                <w:rFonts w:hint="eastAsia" w:ascii="宋体" w:hAnsi="宋体" w:eastAsia="宋体" w:cs="宋体"/>
                <w:kern w:val="0"/>
                <w:sz w:val="24"/>
                <w:szCs w:val="24"/>
                <w:u w:val="none"/>
              </w:rPr>
              <w:t>注：提供相关证书的原件扫描件，</w:t>
            </w:r>
            <w:r>
              <w:rPr>
                <w:rFonts w:hint="eastAsia" w:ascii="宋体" w:hAnsi="宋体" w:eastAsia="宋体" w:cs="宋体"/>
                <w:sz w:val="24"/>
                <w:szCs w:val="24"/>
                <w:u w:val="none"/>
              </w:rPr>
              <w:t>以注册专业为评分依据的提供注册证书原件扫描件，</w:t>
            </w:r>
            <w:r>
              <w:rPr>
                <w:rFonts w:hint="eastAsia" w:ascii="宋体" w:hAnsi="宋体" w:eastAsia="宋体" w:cs="宋体"/>
                <w:kern w:val="0"/>
                <w:sz w:val="24"/>
                <w:szCs w:val="24"/>
                <w:u w:val="none"/>
              </w:rPr>
              <w:t>须提供近半年（任意一个月）投标人为其缴纳的社会保险证明材料。</w:t>
            </w:r>
          </w:p>
        </w:tc>
        <w:tc>
          <w:tcPr>
            <w:tcW w:w="696" w:type="dxa"/>
            <w:tcMar>
              <w:top w:w="100" w:type="dxa"/>
              <w:bottom w:w="100" w:type="dxa"/>
            </w:tcMar>
            <w:vAlign w:val="center"/>
          </w:tcPr>
          <w:p w14:paraId="4EA18237">
            <w:pPr>
              <w:widowControl/>
              <w:jc w:val="center"/>
              <w:rPr>
                <w:rFonts w:hint="eastAsia" w:ascii="宋体" w:hAnsi="宋体" w:eastAsia="宋体" w:cs="宋体"/>
                <w:kern w:val="0"/>
                <w:sz w:val="24"/>
                <w:szCs w:val="24"/>
                <w:u w:val="none"/>
              </w:rPr>
            </w:pPr>
            <w:r>
              <w:rPr>
                <w:rFonts w:hint="eastAsia" w:ascii="宋体" w:hAnsi="宋体" w:eastAsia="宋体" w:cs="宋体"/>
                <w:kern w:val="0"/>
                <w:sz w:val="24"/>
                <w:szCs w:val="24"/>
                <w:u w:val="none"/>
              </w:rPr>
              <w:t>3.0</w:t>
            </w:r>
          </w:p>
        </w:tc>
      </w:tr>
      <w:tr w14:paraId="6821C4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84" w:type="dxa"/>
            <w:gridSpan w:val="2"/>
            <w:tcMar>
              <w:top w:w="100" w:type="dxa"/>
              <w:bottom w:w="100" w:type="dxa"/>
            </w:tcMar>
            <w:vAlign w:val="center"/>
          </w:tcPr>
          <w:p w14:paraId="66D5F46F">
            <w:pPr>
              <w:widowControl/>
              <w:jc w:val="center"/>
              <w:rPr>
                <w:rFonts w:hint="eastAsia" w:ascii="宋体" w:hAnsi="宋体" w:eastAsia="宋体" w:cs="宋体"/>
                <w:kern w:val="0"/>
                <w:sz w:val="24"/>
                <w:lang w:eastAsia="zh-CN"/>
              </w:rPr>
            </w:pPr>
            <w:r>
              <w:rPr>
                <w:rFonts w:hint="eastAsia" w:ascii="宋体" w:hAnsi="宋体" w:eastAsia="宋体" w:cs="宋体"/>
                <w:kern w:val="0"/>
                <w:sz w:val="24"/>
              </w:rPr>
              <w:t>2.</w:t>
            </w:r>
            <w:r>
              <w:rPr>
                <w:rFonts w:hint="eastAsia" w:ascii="宋体" w:hAnsi="宋体" w:eastAsia="宋体" w:cs="宋体"/>
                <w:kern w:val="0"/>
                <w:sz w:val="24"/>
                <w:lang w:val="en-US" w:eastAsia="zh-CN"/>
              </w:rPr>
              <w:t>6</w:t>
            </w:r>
          </w:p>
        </w:tc>
        <w:tc>
          <w:tcPr>
            <w:tcW w:w="1134" w:type="dxa"/>
            <w:tcMar>
              <w:top w:w="100" w:type="dxa"/>
              <w:bottom w:w="100" w:type="dxa"/>
            </w:tcMar>
            <w:vAlign w:val="center"/>
          </w:tcPr>
          <w:p w14:paraId="390F2629">
            <w:pPr>
              <w:jc w:val="center"/>
              <w:rPr>
                <w:rFonts w:hint="eastAsia" w:ascii="宋体" w:hAnsi="宋体" w:eastAsia="宋体" w:cs="宋体"/>
                <w:kern w:val="0"/>
                <w:sz w:val="24"/>
                <w:szCs w:val="24"/>
                <w:u w:val="none"/>
              </w:rPr>
            </w:pPr>
            <w:r>
              <w:rPr>
                <w:rFonts w:hint="eastAsia" w:ascii="宋体" w:hAnsi="宋体" w:eastAsia="宋体" w:cs="宋体"/>
                <w:kern w:val="0"/>
                <w:sz w:val="24"/>
                <w:szCs w:val="24"/>
                <w:u w:val="none"/>
              </w:rPr>
              <w:t>设备仪器评价</w:t>
            </w:r>
          </w:p>
        </w:tc>
        <w:tc>
          <w:tcPr>
            <w:tcW w:w="6784" w:type="dxa"/>
            <w:tcMar>
              <w:top w:w="100" w:type="dxa"/>
              <w:bottom w:w="100" w:type="dxa"/>
            </w:tcMar>
            <w:vAlign w:val="center"/>
          </w:tcPr>
          <w:p w14:paraId="53796AAA">
            <w:pPr>
              <w:spacing w:line="360" w:lineRule="auto"/>
              <w:ind w:firstLine="480"/>
              <w:rPr>
                <w:rFonts w:hint="eastAsia" w:ascii="宋体" w:hAnsi="宋体" w:eastAsia="宋体" w:cs="宋体"/>
                <w:b w:val="0"/>
                <w:bCs w:val="0"/>
                <w:color w:val="auto"/>
                <w:kern w:val="0"/>
                <w:sz w:val="24"/>
                <w:szCs w:val="24"/>
                <w:u w:val="none"/>
              </w:rPr>
            </w:pPr>
            <w:r>
              <w:rPr>
                <w:rFonts w:hint="eastAsia" w:ascii="宋体" w:hAnsi="宋体" w:eastAsia="宋体" w:cs="宋体"/>
                <w:b w:val="0"/>
                <w:bCs w:val="0"/>
                <w:color w:val="auto"/>
                <w:kern w:val="0"/>
                <w:sz w:val="24"/>
                <w:szCs w:val="24"/>
                <w:u w:val="none"/>
              </w:rPr>
              <w:t>  本工程应配备有全站仪、经纬仪、水准仪、回弹仪、GPS</w:t>
            </w:r>
            <w:r>
              <w:rPr>
                <w:rFonts w:hint="eastAsia" w:ascii="宋体" w:hAnsi="宋体" w:eastAsia="宋体" w:cs="宋体"/>
                <w:b w:val="0"/>
                <w:bCs w:val="0"/>
                <w:color w:val="auto"/>
                <w:kern w:val="0"/>
                <w:sz w:val="24"/>
                <w:szCs w:val="24"/>
                <w:u w:val="none"/>
                <w:lang w:val="en-US" w:eastAsia="zh-CN"/>
              </w:rPr>
              <w:t>或GNSS</w:t>
            </w:r>
            <w:r>
              <w:rPr>
                <w:rFonts w:hint="eastAsia" w:ascii="宋体" w:hAnsi="宋体" w:eastAsia="宋体" w:cs="宋体"/>
                <w:b w:val="0"/>
                <w:bCs w:val="0"/>
                <w:color w:val="auto"/>
                <w:kern w:val="0"/>
                <w:sz w:val="24"/>
                <w:szCs w:val="24"/>
                <w:u w:val="none"/>
              </w:rPr>
              <w:t>、钢筋位置测定仪（均需提供有效期内的检定证书），有1项得0.5分，最高得3分。</w:t>
            </w:r>
          </w:p>
          <w:p w14:paraId="14CAE71B">
            <w:pPr>
              <w:spacing w:line="360" w:lineRule="auto"/>
              <w:ind w:firstLine="480"/>
              <w:rPr>
                <w:rFonts w:hint="eastAsia" w:ascii="宋体" w:hAnsi="宋体" w:eastAsia="宋体" w:cs="宋体"/>
                <w:kern w:val="0"/>
                <w:sz w:val="24"/>
                <w:szCs w:val="24"/>
                <w:u w:val="none"/>
              </w:rPr>
            </w:pPr>
            <w:r>
              <w:rPr>
                <w:rFonts w:hint="eastAsia" w:ascii="宋体" w:hAnsi="宋体" w:eastAsia="宋体" w:cs="宋体"/>
                <w:kern w:val="0"/>
                <w:sz w:val="24"/>
                <w:szCs w:val="24"/>
                <w:u w:val="none"/>
              </w:rPr>
              <w:t>注：提供载明投标人名称有效期内的设备检定证书或校准证书证明原件扫描件。</w:t>
            </w:r>
          </w:p>
        </w:tc>
        <w:tc>
          <w:tcPr>
            <w:tcW w:w="696" w:type="dxa"/>
            <w:tcMar>
              <w:top w:w="100" w:type="dxa"/>
              <w:bottom w:w="100" w:type="dxa"/>
            </w:tcMar>
            <w:vAlign w:val="center"/>
          </w:tcPr>
          <w:p w14:paraId="4710BCA4">
            <w:pPr>
              <w:widowControl/>
              <w:jc w:val="center"/>
              <w:rPr>
                <w:rFonts w:hint="eastAsia" w:ascii="宋体" w:hAnsi="宋体" w:eastAsia="宋体" w:cs="宋体"/>
                <w:kern w:val="0"/>
                <w:sz w:val="24"/>
                <w:szCs w:val="24"/>
                <w:u w:val="none"/>
              </w:rPr>
            </w:pPr>
            <w:r>
              <w:rPr>
                <w:rFonts w:hint="eastAsia" w:ascii="宋体" w:hAnsi="宋体" w:eastAsia="宋体" w:cs="宋体"/>
                <w:kern w:val="0"/>
                <w:sz w:val="24"/>
                <w:szCs w:val="24"/>
                <w:u w:val="none"/>
              </w:rPr>
              <w:t>3</w:t>
            </w:r>
          </w:p>
        </w:tc>
      </w:tr>
      <w:tr w14:paraId="112018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567" w:hRule="atLeast"/>
        </w:trPr>
        <w:tc>
          <w:tcPr>
            <w:tcW w:w="784" w:type="dxa"/>
            <w:gridSpan w:val="2"/>
            <w:tcMar>
              <w:top w:w="100" w:type="dxa"/>
              <w:bottom w:w="100" w:type="dxa"/>
            </w:tcMar>
            <w:vAlign w:val="center"/>
          </w:tcPr>
          <w:p w14:paraId="727C7C66">
            <w:pPr>
              <w:widowControl/>
              <w:jc w:val="center"/>
              <w:rPr>
                <w:rFonts w:hint="eastAsia" w:ascii="宋体" w:hAnsi="宋体" w:eastAsia="宋体" w:cs="宋体"/>
                <w:kern w:val="0"/>
                <w:sz w:val="24"/>
                <w:lang w:val="en-US" w:eastAsia="zh-CN"/>
              </w:rPr>
            </w:pPr>
            <w:r>
              <w:rPr>
                <w:rFonts w:hint="eastAsia" w:ascii="宋体" w:hAnsi="宋体" w:eastAsia="宋体" w:cs="宋体"/>
                <w:kern w:val="0"/>
                <w:sz w:val="24"/>
              </w:rPr>
              <w:t>2.</w:t>
            </w:r>
            <w:r>
              <w:rPr>
                <w:rFonts w:hint="eastAsia" w:ascii="宋体" w:hAnsi="宋体" w:eastAsia="宋体" w:cs="宋体"/>
                <w:kern w:val="0"/>
                <w:sz w:val="24"/>
                <w:lang w:val="en-US" w:eastAsia="zh-CN"/>
              </w:rPr>
              <w:t>7</w:t>
            </w:r>
          </w:p>
        </w:tc>
        <w:tc>
          <w:tcPr>
            <w:tcW w:w="1134" w:type="dxa"/>
            <w:tcMar>
              <w:top w:w="100" w:type="dxa"/>
              <w:bottom w:w="100" w:type="dxa"/>
            </w:tcMar>
            <w:vAlign w:val="center"/>
          </w:tcPr>
          <w:p w14:paraId="2CBD58B5">
            <w:pPr>
              <w:jc w:val="center"/>
              <w:rPr>
                <w:rFonts w:hint="eastAsia" w:ascii="宋体" w:hAnsi="宋体" w:eastAsia="宋体" w:cs="宋体"/>
                <w:kern w:val="0"/>
                <w:sz w:val="24"/>
                <w:szCs w:val="24"/>
                <w:u w:val="none"/>
              </w:rPr>
            </w:pPr>
            <w:r>
              <w:rPr>
                <w:rFonts w:hint="eastAsia" w:ascii="宋体" w:hAnsi="宋体" w:eastAsia="宋体" w:cs="宋体"/>
                <w:kern w:val="0"/>
                <w:sz w:val="24"/>
                <w:szCs w:val="24"/>
                <w:u w:val="none"/>
              </w:rPr>
              <w:t>企业</w:t>
            </w:r>
          </w:p>
          <w:p w14:paraId="7700D0C5">
            <w:pPr>
              <w:jc w:val="center"/>
              <w:rPr>
                <w:rFonts w:hint="eastAsia" w:ascii="宋体" w:hAnsi="宋体" w:eastAsia="宋体" w:cs="宋体"/>
                <w:kern w:val="0"/>
                <w:sz w:val="24"/>
                <w:szCs w:val="24"/>
                <w:u w:val="none"/>
              </w:rPr>
            </w:pPr>
            <w:r>
              <w:rPr>
                <w:rFonts w:hint="eastAsia" w:ascii="宋体" w:hAnsi="宋体" w:eastAsia="宋体" w:cs="宋体"/>
                <w:kern w:val="0"/>
                <w:sz w:val="24"/>
                <w:szCs w:val="24"/>
                <w:u w:val="none"/>
              </w:rPr>
              <w:t>业绩</w:t>
            </w:r>
          </w:p>
        </w:tc>
        <w:tc>
          <w:tcPr>
            <w:tcW w:w="6784" w:type="dxa"/>
            <w:tcMar>
              <w:top w:w="100" w:type="dxa"/>
              <w:bottom w:w="100" w:type="dxa"/>
            </w:tcMar>
            <w:vAlign w:val="center"/>
          </w:tcPr>
          <w:p w14:paraId="75561E88">
            <w:pPr>
              <w:spacing w:line="360" w:lineRule="auto"/>
              <w:ind w:firstLine="480"/>
              <w:rPr>
                <w:rFonts w:hint="eastAsia" w:ascii="宋体" w:hAnsi="宋体" w:eastAsia="宋体" w:cs="宋体"/>
                <w:kern w:val="0"/>
                <w:sz w:val="24"/>
                <w:szCs w:val="24"/>
                <w:u w:val="none"/>
              </w:rPr>
            </w:pPr>
            <w:r>
              <w:rPr>
                <w:rFonts w:hint="eastAsia" w:ascii="宋体" w:hAnsi="宋体" w:eastAsia="宋体" w:cs="宋体"/>
                <w:kern w:val="0"/>
                <w:sz w:val="24"/>
                <w:szCs w:val="24"/>
                <w:u w:val="none"/>
              </w:rPr>
              <w:t>投标人提供自2022年1月1日以来承担过的类似工程监理业绩的得</w:t>
            </w:r>
            <w:r>
              <w:rPr>
                <w:rFonts w:hint="eastAsia" w:ascii="宋体" w:hAnsi="宋体" w:eastAsia="宋体" w:cs="宋体"/>
                <w:kern w:val="0"/>
                <w:sz w:val="24"/>
                <w:szCs w:val="24"/>
                <w:u w:val="none"/>
                <w:lang w:val="en-US" w:eastAsia="zh-CN"/>
              </w:rPr>
              <w:t>1.5</w:t>
            </w:r>
            <w:r>
              <w:rPr>
                <w:rFonts w:hint="eastAsia" w:ascii="宋体" w:hAnsi="宋体" w:eastAsia="宋体" w:cs="宋体"/>
                <w:kern w:val="0"/>
                <w:sz w:val="24"/>
                <w:szCs w:val="24"/>
                <w:u w:val="none"/>
              </w:rPr>
              <w:t>分,提供</w:t>
            </w:r>
            <w:r>
              <w:rPr>
                <w:rFonts w:hint="eastAsia" w:ascii="宋体" w:hAnsi="宋体" w:eastAsia="宋体" w:cs="宋体"/>
                <w:kern w:val="0"/>
                <w:sz w:val="24"/>
                <w:szCs w:val="24"/>
                <w:u w:val="none"/>
                <w:lang w:val="en-US" w:eastAsia="zh-CN"/>
              </w:rPr>
              <w:t>1</w:t>
            </w:r>
            <w:r>
              <w:rPr>
                <w:rFonts w:hint="eastAsia" w:ascii="宋体" w:hAnsi="宋体" w:eastAsia="宋体" w:cs="宋体"/>
                <w:kern w:val="0"/>
                <w:sz w:val="24"/>
                <w:szCs w:val="24"/>
                <w:u w:val="none"/>
              </w:rPr>
              <w:t>个得</w:t>
            </w:r>
            <w:r>
              <w:rPr>
                <w:rFonts w:hint="eastAsia" w:ascii="宋体" w:hAnsi="宋体" w:eastAsia="宋体" w:cs="宋体"/>
                <w:kern w:val="0"/>
                <w:sz w:val="24"/>
                <w:szCs w:val="24"/>
                <w:u w:val="none"/>
                <w:lang w:val="en-US" w:eastAsia="zh-CN"/>
              </w:rPr>
              <w:t>0.5</w:t>
            </w:r>
            <w:r>
              <w:rPr>
                <w:rFonts w:hint="eastAsia" w:ascii="宋体" w:hAnsi="宋体" w:eastAsia="宋体" w:cs="宋体"/>
                <w:kern w:val="0"/>
                <w:sz w:val="24"/>
                <w:szCs w:val="24"/>
                <w:u w:val="none"/>
              </w:rPr>
              <w:t>分，本项最高得</w:t>
            </w:r>
            <w:r>
              <w:rPr>
                <w:rFonts w:hint="eastAsia" w:ascii="宋体" w:hAnsi="宋体" w:eastAsia="宋体" w:cs="宋体"/>
                <w:kern w:val="0"/>
                <w:sz w:val="24"/>
                <w:szCs w:val="24"/>
                <w:u w:val="none"/>
                <w:lang w:val="en-US" w:eastAsia="zh-CN"/>
              </w:rPr>
              <w:t>1.5</w:t>
            </w:r>
            <w:r>
              <w:rPr>
                <w:rFonts w:hint="eastAsia" w:ascii="宋体" w:hAnsi="宋体" w:eastAsia="宋体" w:cs="宋体"/>
                <w:kern w:val="0"/>
                <w:sz w:val="24"/>
                <w:szCs w:val="24"/>
                <w:u w:val="none"/>
              </w:rPr>
              <w:t>分。</w:t>
            </w:r>
          </w:p>
          <w:p w14:paraId="03DE491C">
            <w:pPr>
              <w:spacing w:line="360" w:lineRule="auto"/>
              <w:rPr>
                <w:rFonts w:hint="eastAsia" w:ascii="宋体" w:hAnsi="宋体" w:eastAsia="宋体" w:cs="宋体"/>
                <w:kern w:val="0"/>
                <w:sz w:val="24"/>
                <w:szCs w:val="24"/>
                <w:u w:val="none"/>
              </w:rPr>
            </w:pPr>
            <w:r>
              <w:rPr>
                <w:rFonts w:hint="eastAsia" w:ascii="宋体" w:hAnsi="宋体" w:eastAsia="宋体" w:cs="宋体"/>
                <w:kern w:val="0"/>
                <w:sz w:val="24"/>
                <w:szCs w:val="24"/>
                <w:u w:val="none"/>
              </w:rPr>
              <w:t xml:space="preserve">  注：时间以监理竣工验收证明时间为准。须提供监理合同、竣工验收证明等相关证明材料原件扫描件。</w:t>
            </w:r>
          </w:p>
        </w:tc>
        <w:tc>
          <w:tcPr>
            <w:tcW w:w="696" w:type="dxa"/>
            <w:tcMar>
              <w:top w:w="100" w:type="dxa"/>
              <w:bottom w:w="100" w:type="dxa"/>
            </w:tcMar>
            <w:vAlign w:val="center"/>
          </w:tcPr>
          <w:p w14:paraId="01A77AD6">
            <w:pPr>
              <w:widowControl/>
              <w:jc w:val="center"/>
              <w:rPr>
                <w:rFonts w:hint="eastAsia" w:ascii="宋体" w:hAnsi="宋体" w:eastAsia="宋体" w:cs="宋体"/>
                <w:kern w:val="0"/>
                <w:sz w:val="24"/>
                <w:szCs w:val="24"/>
                <w:u w:val="none"/>
                <w:lang w:val="en-US" w:eastAsia="zh-CN"/>
              </w:rPr>
            </w:pPr>
            <w:r>
              <w:rPr>
                <w:rFonts w:hint="eastAsia" w:ascii="宋体" w:hAnsi="宋体" w:eastAsia="宋体" w:cs="宋体"/>
                <w:kern w:val="0"/>
                <w:sz w:val="24"/>
                <w:szCs w:val="24"/>
                <w:u w:val="none"/>
                <w:lang w:val="en-US" w:eastAsia="zh-CN"/>
              </w:rPr>
              <w:t>1.5</w:t>
            </w:r>
          </w:p>
        </w:tc>
      </w:tr>
      <w:tr w14:paraId="59AA63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567" w:hRule="atLeast"/>
        </w:trPr>
        <w:tc>
          <w:tcPr>
            <w:tcW w:w="784" w:type="dxa"/>
            <w:gridSpan w:val="2"/>
            <w:tcMar>
              <w:top w:w="100" w:type="dxa"/>
              <w:bottom w:w="100" w:type="dxa"/>
            </w:tcMar>
            <w:vAlign w:val="center"/>
          </w:tcPr>
          <w:p w14:paraId="63A7CAB1">
            <w:pPr>
              <w:widowControl/>
              <w:jc w:val="center"/>
              <w:rPr>
                <w:rFonts w:hint="default" w:ascii="宋体" w:hAnsi="宋体" w:eastAsia="宋体" w:cs="宋体"/>
                <w:kern w:val="0"/>
                <w:sz w:val="24"/>
                <w:lang w:val="en-US" w:eastAsia="zh-CN"/>
              </w:rPr>
            </w:pPr>
            <w:r>
              <w:rPr>
                <w:rFonts w:hint="eastAsia" w:ascii="宋体" w:hAnsi="宋体" w:eastAsia="宋体" w:cs="宋体"/>
                <w:kern w:val="0"/>
                <w:sz w:val="24"/>
                <w:lang w:val="en-US" w:eastAsia="zh-CN"/>
              </w:rPr>
              <w:t>2.8</w:t>
            </w:r>
          </w:p>
        </w:tc>
        <w:tc>
          <w:tcPr>
            <w:tcW w:w="1134" w:type="dxa"/>
            <w:tcMar>
              <w:top w:w="100" w:type="dxa"/>
              <w:bottom w:w="100" w:type="dxa"/>
            </w:tcMar>
            <w:vAlign w:val="center"/>
          </w:tcPr>
          <w:p w14:paraId="5D52D8F0">
            <w:pPr>
              <w:jc w:val="center"/>
              <w:rPr>
                <w:rFonts w:hint="eastAsia" w:ascii="宋体" w:hAnsi="宋体" w:eastAsia="宋体" w:cs="宋体"/>
                <w:kern w:val="0"/>
                <w:sz w:val="24"/>
                <w:szCs w:val="24"/>
                <w:u w:val="none"/>
              </w:rPr>
            </w:pPr>
            <w:r>
              <w:rPr>
                <w:rFonts w:hint="eastAsia" w:ascii="宋体" w:hAnsi="宋体" w:eastAsia="宋体" w:cs="宋体"/>
                <w:b w:val="0"/>
                <w:bCs w:val="0"/>
                <w:color w:val="auto"/>
                <w:kern w:val="0"/>
                <w:sz w:val="24"/>
                <w:szCs w:val="24"/>
                <w:u w:val="none"/>
              </w:rPr>
              <w:t>奖项</w:t>
            </w:r>
          </w:p>
        </w:tc>
        <w:tc>
          <w:tcPr>
            <w:tcW w:w="6784" w:type="dxa"/>
            <w:tcMar>
              <w:top w:w="100" w:type="dxa"/>
              <w:bottom w:w="100" w:type="dxa"/>
            </w:tcMar>
            <w:vAlign w:val="center"/>
          </w:tcPr>
          <w:p w14:paraId="3CD0DFFA">
            <w:pPr>
              <w:spacing w:line="360" w:lineRule="auto"/>
              <w:rPr>
                <w:rFonts w:hint="eastAsia" w:ascii="宋体" w:hAnsi="宋体" w:eastAsia="宋体" w:cs="宋体"/>
                <w:kern w:val="0"/>
                <w:sz w:val="24"/>
                <w:szCs w:val="24"/>
                <w:u w:val="none"/>
              </w:rPr>
            </w:pPr>
            <w:r>
              <w:rPr>
                <w:rFonts w:hint="eastAsia" w:ascii="宋体" w:hAnsi="宋体" w:eastAsia="宋体" w:cs="宋体"/>
                <w:b w:val="0"/>
                <w:bCs w:val="0"/>
                <w:color w:val="auto"/>
                <w:kern w:val="0"/>
                <w:sz w:val="24"/>
                <w:szCs w:val="24"/>
                <w:u w:val="none"/>
              </w:rPr>
              <w:t> </w:t>
            </w:r>
            <w:r>
              <w:rPr>
                <w:rFonts w:hint="eastAsia" w:ascii="宋体" w:hAnsi="宋体" w:eastAsia="宋体" w:cs="宋体"/>
                <w:b w:val="0"/>
                <w:bCs w:val="0"/>
                <w:color w:val="auto"/>
                <w:kern w:val="0"/>
                <w:sz w:val="24"/>
                <w:szCs w:val="24"/>
                <w:u w:val="none"/>
                <w:lang w:val="en-US" w:eastAsia="zh-CN"/>
              </w:rPr>
              <w:t xml:space="preserve">  </w:t>
            </w:r>
            <w:r>
              <w:rPr>
                <w:rFonts w:hint="eastAsia" w:ascii="宋体" w:hAnsi="宋体" w:eastAsia="宋体" w:cs="宋体"/>
                <w:kern w:val="0"/>
                <w:sz w:val="24"/>
                <w:szCs w:val="24"/>
                <w:u w:val="none"/>
              </w:rPr>
              <w:t>投标人承担的</w:t>
            </w:r>
            <w:r>
              <w:rPr>
                <w:rFonts w:hint="eastAsia" w:ascii="宋体" w:hAnsi="宋体" w:eastAsia="宋体" w:cs="宋体"/>
                <w:kern w:val="0"/>
                <w:sz w:val="24"/>
                <w:szCs w:val="24"/>
                <w:u w:val="none"/>
                <w:lang w:val="en-US" w:eastAsia="zh-CN"/>
              </w:rPr>
              <w:t>市政公用工程</w:t>
            </w:r>
            <w:r>
              <w:rPr>
                <w:rFonts w:hint="eastAsia" w:ascii="宋体" w:hAnsi="宋体" w:eastAsia="宋体" w:cs="宋体"/>
                <w:kern w:val="0"/>
                <w:sz w:val="24"/>
                <w:szCs w:val="24"/>
                <w:u w:val="none"/>
              </w:rPr>
              <w:t xml:space="preserve">自2022年01月01日以来获得省优及以上奖项的（如江苏为“扬子杯”），得1.5分；投标人承担的市政公用工程自2023年01月01日以来获得省辖市级市优工程奖项的（如镇江为“金山杯”），得1.2分； </w:t>
            </w:r>
          </w:p>
          <w:p w14:paraId="01C81B14">
            <w:pPr>
              <w:spacing w:line="360" w:lineRule="auto"/>
              <w:ind w:firstLine="240" w:firstLineChars="100"/>
              <w:rPr>
                <w:rFonts w:hint="eastAsia" w:ascii="宋体" w:hAnsi="宋体" w:eastAsia="宋体" w:cs="宋体"/>
                <w:kern w:val="0"/>
                <w:sz w:val="24"/>
                <w:szCs w:val="24"/>
                <w:u w:val="none"/>
              </w:rPr>
            </w:pPr>
            <w:r>
              <w:rPr>
                <w:rFonts w:hint="eastAsia" w:ascii="宋体" w:hAnsi="宋体" w:eastAsia="宋体" w:cs="宋体"/>
                <w:kern w:val="0"/>
                <w:sz w:val="24"/>
                <w:szCs w:val="24"/>
                <w:u w:val="none"/>
                <w:lang w:val="en-US" w:eastAsia="zh-CN"/>
              </w:rPr>
              <w:t>注：</w:t>
            </w:r>
            <w:r>
              <w:rPr>
                <w:rFonts w:hint="eastAsia" w:ascii="宋体" w:hAnsi="宋体" w:eastAsia="宋体" w:cs="宋体"/>
                <w:kern w:val="0"/>
                <w:sz w:val="24"/>
                <w:szCs w:val="24"/>
                <w:u w:val="none"/>
              </w:rPr>
              <w:t>提供相关证书的原件扫描件</w:t>
            </w:r>
            <w:r>
              <w:rPr>
                <w:rFonts w:hint="eastAsia" w:ascii="宋体" w:hAnsi="宋体" w:eastAsia="宋体" w:cs="宋体"/>
                <w:kern w:val="0"/>
                <w:sz w:val="24"/>
                <w:szCs w:val="24"/>
                <w:u w:val="none"/>
                <w:lang w:val="en-US" w:eastAsia="zh-CN"/>
              </w:rPr>
              <w:t>，奖项以建设行政主管部门颁发为准，奖项有效期自发证或者发文之日起算起，发证、发文时间不一致的，以发文的时间为准；加分时， 仅对投标人所报符合要求获奖工程中的最高奖项计分，且只能计算一个获奖工程， 不得重复累计；上述奖项以外的其他奖项不予加分，也不得以本地区工程奖项单独加分。</w:t>
            </w:r>
          </w:p>
        </w:tc>
        <w:tc>
          <w:tcPr>
            <w:tcW w:w="696" w:type="dxa"/>
            <w:tcMar>
              <w:top w:w="100" w:type="dxa"/>
              <w:bottom w:w="100" w:type="dxa"/>
            </w:tcMar>
            <w:vAlign w:val="center"/>
          </w:tcPr>
          <w:p w14:paraId="47637B49">
            <w:pPr>
              <w:widowControl/>
              <w:jc w:val="center"/>
              <w:rPr>
                <w:rFonts w:hint="eastAsia" w:ascii="宋体" w:hAnsi="宋体" w:eastAsia="宋体" w:cs="宋体"/>
                <w:kern w:val="0"/>
                <w:sz w:val="24"/>
                <w:szCs w:val="24"/>
                <w:u w:val="none"/>
                <w:lang w:val="en-US" w:eastAsia="zh-CN"/>
              </w:rPr>
            </w:pPr>
            <w:r>
              <w:rPr>
                <w:rFonts w:hint="eastAsia" w:ascii="宋体" w:hAnsi="宋体" w:eastAsia="宋体" w:cs="宋体"/>
                <w:kern w:val="0"/>
                <w:sz w:val="24"/>
                <w:szCs w:val="24"/>
                <w:u w:val="none"/>
                <w:lang w:val="en-US" w:eastAsia="zh-CN"/>
              </w:rPr>
              <w:t>1.5</w:t>
            </w:r>
          </w:p>
        </w:tc>
      </w:tr>
    </w:tbl>
    <w:p w14:paraId="552B7187">
      <w:pPr>
        <w:spacing w:before="18"/>
        <w:rPr>
          <w:rFonts w:ascii="宋体" w:hAnsi="宋体" w:eastAsia="宋体" w:cs="宋体"/>
          <w:kern w:val="0"/>
        </w:rPr>
      </w:pPr>
    </w:p>
    <w:p w14:paraId="20F9B825">
      <w:pPr>
        <w:spacing w:before="78" w:line="218" w:lineRule="auto"/>
        <w:rPr>
          <w:rFonts w:ascii="宋体" w:hAnsi="宋体" w:eastAsia="宋体" w:cs="宋体"/>
          <w:spacing w:val="-16"/>
          <w:kern w:val="0"/>
          <w:sz w:val="24"/>
        </w:rPr>
      </w:pPr>
    </w:p>
    <w:p w14:paraId="271A1E13">
      <w:pPr>
        <w:spacing w:before="78" w:line="218" w:lineRule="auto"/>
        <w:rPr>
          <w:rFonts w:ascii="宋体" w:hAnsi="宋体" w:eastAsia="宋体" w:cs="宋体"/>
          <w:b/>
          <w:bCs/>
          <w:kern w:val="0"/>
          <w:sz w:val="24"/>
        </w:rPr>
      </w:pPr>
      <w:r>
        <w:rPr>
          <w:rFonts w:hint="eastAsia" w:ascii="宋体" w:hAnsi="宋体" w:eastAsia="宋体" w:cs="宋体"/>
          <w:b/>
          <w:bCs/>
          <w:spacing w:val="-16"/>
          <w:kern w:val="0"/>
          <w:sz w:val="24"/>
        </w:rPr>
        <w:t>（三）价格评估</w:t>
      </w:r>
    </w:p>
    <w:p w14:paraId="30008AB2">
      <w:pPr>
        <w:spacing w:before="28"/>
        <w:rPr>
          <w:rFonts w:ascii="宋体" w:hAnsi="宋体" w:eastAsia="宋体" w:cs="宋体"/>
          <w:kern w:val="0"/>
        </w:rPr>
      </w:pPr>
    </w:p>
    <w:tbl>
      <w:tblPr>
        <w:tblStyle w:val="2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825"/>
        <w:gridCol w:w="1346"/>
        <w:gridCol w:w="6891"/>
        <w:gridCol w:w="734"/>
      </w:tblGrid>
      <w:tr w14:paraId="46545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83" w:type="dxa"/>
            <w:tcMar>
              <w:top w:w="100" w:type="dxa"/>
              <w:bottom w:w="100" w:type="dxa"/>
            </w:tcMar>
            <w:vAlign w:val="center"/>
          </w:tcPr>
          <w:p w14:paraId="1FD58AF2">
            <w:pPr>
              <w:widowControl/>
              <w:jc w:val="center"/>
              <w:rPr>
                <w:rFonts w:ascii="宋体" w:hAnsi="宋体" w:eastAsia="宋体" w:cs="宋体"/>
                <w:kern w:val="0"/>
                <w:sz w:val="24"/>
                <w:lang w:eastAsia="en-US"/>
              </w:rPr>
            </w:pPr>
            <w:r>
              <w:rPr>
                <w:rFonts w:hint="eastAsia" w:ascii="宋体" w:hAnsi="宋体" w:eastAsia="宋体" w:cs="宋体"/>
                <w:kern w:val="0"/>
                <w:sz w:val="24"/>
                <w:lang w:eastAsia="en-US"/>
              </w:rPr>
              <w:t>序号</w:t>
            </w:r>
          </w:p>
        </w:tc>
        <w:tc>
          <w:tcPr>
            <w:tcW w:w="1276" w:type="dxa"/>
            <w:tcMar>
              <w:top w:w="100" w:type="dxa"/>
              <w:bottom w:w="100" w:type="dxa"/>
            </w:tcMar>
            <w:vAlign w:val="center"/>
          </w:tcPr>
          <w:p w14:paraId="5E40318D">
            <w:pPr>
              <w:widowControl/>
              <w:jc w:val="center"/>
              <w:rPr>
                <w:rFonts w:ascii="宋体" w:hAnsi="宋体" w:eastAsia="宋体" w:cs="宋体"/>
                <w:kern w:val="0"/>
                <w:sz w:val="24"/>
                <w:lang w:eastAsia="en-US"/>
              </w:rPr>
            </w:pPr>
            <w:r>
              <w:rPr>
                <w:rFonts w:hint="eastAsia" w:ascii="宋体" w:hAnsi="宋体" w:eastAsia="宋体" w:cs="宋体"/>
                <w:kern w:val="0"/>
                <w:sz w:val="24"/>
                <w:lang w:eastAsia="en-US"/>
              </w:rPr>
              <w:t>评审因素</w:t>
            </w:r>
          </w:p>
        </w:tc>
        <w:tc>
          <w:tcPr>
            <w:tcW w:w="6534" w:type="dxa"/>
            <w:tcMar>
              <w:top w:w="100" w:type="dxa"/>
              <w:bottom w:w="100" w:type="dxa"/>
            </w:tcMar>
            <w:vAlign w:val="center"/>
          </w:tcPr>
          <w:p w14:paraId="5FB9E94A">
            <w:pPr>
              <w:widowControl/>
              <w:jc w:val="center"/>
              <w:rPr>
                <w:rFonts w:ascii="宋体" w:hAnsi="宋体" w:eastAsia="宋体" w:cs="宋体"/>
                <w:kern w:val="0"/>
                <w:sz w:val="24"/>
                <w:lang w:eastAsia="en-US"/>
              </w:rPr>
            </w:pPr>
            <w:r>
              <w:rPr>
                <w:rFonts w:hint="eastAsia" w:ascii="宋体" w:hAnsi="宋体" w:eastAsia="宋体" w:cs="宋体"/>
                <w:kern w:val="0"/>
                <w:sz w:val="24"/>
                <w:lang w:eastAsia="en-US"/>
              </w:rPr>
              <w:t>评审细则</w:t>
            </w:r>
          </w:p>
        </w:tc>
        <w:tc>
          <w:tcPr>
            <w:tcW w:w="696" w:type="dxa"/>
            <w:tcMar>
              <w:top w:w="100" w:type="dxa"/>
              <w:bottom w:w="100" w:type="dxa"/>
            </w:tcMar>
            <w:vAlign w:val="center"/>
          </w:tcPr>
          <w:p w14:paraId="7A37B62A">
            <w:pPr>
              <w:widowControl/>
              <w:jc w:val="center"/>
              <w:rPr>
                <w:rFonts w:ascii="宋体" w:hAnsi="宋体" w:eastAsia="宋体" w:cs="宋体"/>
                <w:kern w:val="0"/>
                <w:sz w:val="24"/>
                <w:lang w:eastAsia="en-US"/>
              </w:rPr>
            </w:pPr>
            <w:r>
              <w:rPr>
                <w:rFonts w:hint="eastAsia" w:ascii="宋体" w:hAnsi="宋体" w:eastAsia="宋体" w:cs="宋体"/>
                <w:kern w:val="0"/>
                <w:sz w:val="24"/>
                <w:lang w:eastAsia="en-US"/>
              </w:rPr>
              <w:t>分值</w:t>
            </w:r>
          </w:p>
        </w:tc>
      </w:tr>
      <w:tr w14:paraId="54E5AA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593" w:type="dxa"/>
            <w:gridSpan w:val="3"/>
            <w:tcMar>
              <w:top w:w="100" w:type="dxa"/>
              <w:bottom w:w="100" w:type="dxa"/>
            </w:tcMar>
            <w:vAlign w:val="center"/>
          </w:tcPr>
          <w:p w14:paraId="2C22CADD">
            <w:pPr>
              <w:widowControl/>
              <w:jc w:val="center"/>
              <w:rPr>
                <w:rFonts w:ascii="宋体" w:hAnsi="宋体" w:eastAsia="宋体" w:cs="宋体"/>
                <w:kern w:val="0"/>
                <w:sz w:val="24"/>
                <w:lang w:eastAsia="en-US"/>
              </w:rPr>
            </w:pPr>
            <w:r>
              <w:rPr>
                <w:rFonts w:hint="eastAsia" w:ascii="宋体" w:hAnsi="宋体" w:eastAsia="宋体" w:cs="宋体"/>
                <w:kern w:val="0"/>
                <w:sz w:val="24"/>
                <w:lang w:eastAsia="en-US"/>
              </w:rPr>
              <w:t>投标报价得分</w:t>
            </w:r>
          </w:p>
        </w:tc>
        <w:tc>
          <w:tcPr>
            <w:tcW w:w="696" w:type="dxa"/>
            <w:tcMar>
              <w:top w:w="100" w:type="dxa"/>
              <w:bottom w:w="100" w:type="dxa"/>
            </w:tcMar>
            <w:vAlign w:val="center"/>
          </w:tcPr>
          <w:p w14:paraId="4DCD37E2">
            <w:pPr>
              <w:widowControl/>
              <w:jc w:val="center"/>
              <w:rPr>
                <w:rFonts w:ascii="宋体" w:hAnsi="宋体" w:eastAsia="宋体" w:cs="宋体"/>
                <w:kern w:val="0"/>
                <w:sz w:val="24"/>
                <w:lang w:eastAsia="en-US"/>
              </w:rPr>
            </w:pPr>
            <w:r>
              <w:rPr>
                <w:rFonts w:hint="eastAsia" w:ascii="宋体" w:hAnsi="宋体" w:eastAsia="宋体" w:cs="宋体"/>
                <w:kern w:val="0"/>
                <w:sz w:val="24"/>
              </w:rPr>
              <w:t>20</w:t>
            </w:r>
            <w:r>
              <w:rPr>
                <w:rFonts w:hint="eastAsia" w:ascii="宋体" w:hAnsi="宋体" w:eastAsia="宋体" w:cs="宋体"/>
                <w:kern w:val="0"/>
                <w:sz w:val="24"/>
                <w:lang w:eastAsia="en-US"/>
              </w:rPr>
              <w:t>.0</w:t>
            </w:r>
          </w:p>
        </w:tc>
      </w:tr>
      <w:tr w14:paraId="4B9CC0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83" w:type="dxa"/>
            <w:tcMar>
              <w:top w:w="100" w:type="dxa"/>
              <w:bottom w:w="100" w:type="dxa"/>
            </w:tcMar>
            <w:vAlign w:val="center"/>
          </w:tcPr>
          <w:p w14:paraId="09C6E7F8">
            <w:pPr>
              <w:widowControl/>
              <w:jc w:val="center"/>
              <w:rPr>
                <w:rFonts w:ascii="宋体" w:hAnsi="宋体" w:eastAsia="宋体" w:cs="宋体"/>
                <w:kern w:val="0"/>
                <w:sz w:val="24"/>
                <w:lang w:eastAsia="en-US"/>
              </w:rPr>
            </w:pPr>
            <w:r>
              <w:rPr>
                <w:rFonts w:hint="eastAsia" w:ascii="宋体" w:hAnsi="宋体" w:eastAsia="宋体" w:cs="宋体"/>
                <w:kern w:val="0"/>
                <w:sz w:val="24"/>
                <w:lang w:eastAsia="en-US"/>
              </w:rPr>
              <w:t>3.1</w:t>
            </w:r>
          </w:p>
        </w:tc>
        <w:tc>
          <w:tcPr>
            <w:tcW w:w="1276" w:type="dxa"/>
            <w:tcMar>
              <w:top w:w="100" w:type="dxa"/>
              <w:bottom w:w="100" w:type="dxa"/>
            </w:tcMar>
            <w:vAlign w:val="center"/>
          </w:tcPr>
          <w:p w14:paraId="2EBDD190">
            <w:pPr>
              <w:widowControl/>
              <w:jc w:val="center"/>
              <w:rPr>
                <w:rFonts w:ascii="宋体" w:hAnsi="宋体" w:eastAsia="宋体" w:cs="宋体"/>
                <w:kern w:val="0"/>
                <w:sz w:val="24"/>
                <w:lang w:eastAsia="en-US"/>
              </w:rPr>
            </w:pPr>
            <w:r>
              <w:rPr>
                <w:rFonts w:hint="eastAsia" w:ascii="宋体" w:hAnsi="宋体" w:eastAsia="宋体" w:cs="宋体"/>
                <w:kern w:val="0"/>
                <w:sz w:val="24"/>
                <w:lang w:eastAsia="en-US"/>
              </w:rPr>
              <w:t>投标报价</w:t>
            </w:r>
          </w:p>
        </w:tc>
        <w:tc>
          <w:tcPr>
            <w:tcW w:w="6534" w:type="dxa"/>
            <w:tcMar>
              <w:top w:w="100" w:type="dxa"/>
              <w:bottom w:w="100" w:type="dxa"/>
            </w:tcMar>
            <w:vAlign w:val="center"/>
          </w:tcPr>
          <w:p w14:paraId="431D4B31">
            <w:pPr>
              <w:widowControl/>
              <w:ind w:firstLine="480"/>
              <w:jc w:val="left"/>
              <w:rPr>
                <w:rFonts w:ascii="宋体" w:hAnsi="宋体" w:eastAsia="宋体" w:cs="宋体"/>
                <w:kern w:val="0"/>
                <w:sz w:val="24"/>
              </w:rPr>
            </w:pPr>
            <w:r>
              <w:rPr>
                <w:rFonts w:hint="eastAsia" w:ascii="宋体" w:hAnsi="宋体" w:eastAsia="宋体" w:cs="宋体"/>
                <w:kern w:val="0"/>
                <w:sz w:val="24"/>
              </w:rPr>
              <w:t>综合评分法中的价格分采用低价优先法计算，即满足招标文件要求且投标价格最低的投标报价为评标基准价，其价格分为满分20分。其他投标人的价格分统一按照下列公式计算：</w:t>
            </w:r>
          </w:p>
          <w:p w14:paraId="55DA7463">
            <w:pPr>
              <w:widowControl/>
              <w:ind w:firstLine="480"/>
              <w:jc w:val="left"/>
              <w:rPr>
                <w:rFonts w:ascii="宋体" w:hAnsi="宋体" w:eastAsia="宋体" w:cs="宋体"/>
                <w:kern w:val="0"/>
                <w:sz w:val="24"/>
              </w:rPr>
            </w:pPr>
            <w:r>
              <w:rPr>
                <w:rFonts w:hint="eastAsia" w:ascii="宋体" w:hAnsi="宋体" w:eastAsia="宋体" w:cs="宋体"/>
                <w:kern w:val="0"/>
                <w:sz w:val="24"/>
              </w:rPr>
              <w:t>投标报价得分= (评标基准价／投标报价)×20。</w:t>
            </w:r>
          </w:p>
        </w:tc>
        <w:tc>
          <w:tcPr>
            <w:tcW w:w="696" w:type="dxa"/>
            <w:tcMar>
              <w:top w:w="100" w:type="dxa"/>
              <w:bottom w:w="100" w:type="dxa"/>
            </w:tcMar>
            <w:vAlign w:val="center"/>
          </w:tcPr>
          <w:p w14:paraId="38AFCEC9">
            <w:pPr>
              <w:widowControl/>
              <w:jc w:val="center"/>
              <w:rPr>
                <w:rFonts w:ascii="宋体" w:hAnsi="宋体" w:eastAsia="宋体" w:cs="宋体"/>
                <w:kern w:val="0"/>
                <w:sz w:val="24"/>
                <w:lang w:eastAsia="en-US"/>
              </w:rPr>
            </w:pPr>
            <w:r>
              <w:rPr>
                <w:rFonts w:hint="eastAsia" w:ascii="宋体" w:hAnsi="宋体" w:eastAsia="宋体" w:cs="宋体"/>
                <w:kern w:val="0"/>
                <w:sz w:val="24"/>
              </w:rPr>
              <w:t>20</w:t>
            </w:r>
            <w:r>
              <w:rPr>
                <w:rFonts w:hint="eastAsia" w:ascii="宋体" w:hAnsi="宋体" w:eastAsia="宋体" w:cs="宋体"/>
                <w:kern w:val="0"/>
                <w:sz w:val="24"/>
                <w:lang w:eastAsia="en-US"/>
              </w:rPr>
              <w:t>.0</w:t>
            </w:r>
          </w:p>
        </w:tc>
      </w:tr>
      <w:bookmarkEnd w:id="154"/>
    </w:tbl>
    <w:p w14:paraId="578538F1">
      <w:pPr>
        <w:widowControl/>
        <w:spacing w:line="360" w:lineRule="auto"/>
        <w:jc w:val="left"/>
        <w:rPr>
          <w:rFonts w:ascii="宋体" w:hAnsi="宋体" w:eastAsia="宋体" w:cs="宋体"/>
          <w:b/>
          <w:kern w:val="0"/>
          <w:sz w:val="24"/>
        </w:rPr>
      </w:pPr>
    </w:p>
    <w:bookmarkEnd w:id="155"/>
    <w:p w14:paraId="61069CFC">
      <w:r>
        <w:rPr>
          <w:rFonts w:hint="eastAsia"/>
        </w:rPr>
        <w:t>七、推荐成交供应商</w:t>
      </w:r>
    </w:p>
    <w:p w14:paraId="55C15EAA">
      <w:pPr>
        <w:spacing w:line="262" w:lineRule="auto"/>
        <w:rPr>
          <w:rFonts w:ascii="Arial"/>
        </w:rPr>
      </w:pPr>
    </w:p>
    <w:p w14:paraId="765987E8">
      <w:pPr>
        <w:spacing w:before="78" w:line="361" w:lineRule="auto"/>
        <w:ind w:left="124" w:right="34" w:firstLine="480"/>
        <w:rPr>
          <w:rFonts w:ascii="宋体" w:hAnsi="宋体" w:eastAsia="宋体" w:cs="宋体"/>
          <w:sz w:val="24"/>
        </w:rPr>
      </w:pPr>
      <w:r>
        <w:rPr>
          <w:rFonts w:ascii="宋体" w:hAnsi="宋体" w:eastAsia="宋体" w:cs="宋体"/>
          <w:spacing w:val="2"/>
          <w:sz w:val="24"/>
        </w:rPr>
        <w:t>磋商小组应当根据综合评分情况，按照评审得分由高到低顺序推荐3名以上成交候选</w:t>
      </w:r>
      <w:r>
        <w:rPr>
          <w:rFonts w:ascii="宋体" w:hAnsi="宋体" w:eastAsia="宋体" w:cs="宋体"/>
          <w:spacing w:val="-1"/>
          <w:sz w:val="24"/>
        </w:rPr>
        <w:t>供应商，并编写评审报告。符合《政府采购竞争性磋商采购方式管理暂</w:t>
      </w:r>
      <w:r>
        <w:rPr>
          <w:rFonts w:ascii="宋体" w:hAnsi="宋体" w:eastAsia="宋体" w:cs="宋体"/>
          <w:spacing w:val="-2"/>
          <w:sz w:val="24"/>
        </w:rPr>
        <w:t>行办法》第二十一</w:t>
      </w:r>
      <w:r>
        <w:rPr>
          <w:rFonts w:ascii="宋体" w:hAnsi="宋体" w:eastAsia="宋体" w:cs="宋体"/>
          <w:spacing w:val="-4"/>
          <w:sz w:val="24"/>
        </w:rPr>
        <w:t>条第三款、《财政部关于政府采购竞争性磋商</w:t>
      </w:r>
      <w:r>
        <w:rPr>
          <w:rFonts w:ascii="宋体" w:hAnsi="宋体" w:eastAsia="宋体" w:cs="宋体"/>
          <w:spacing w:val="-5"/>
          <w:sz w:val="24"/>
        </w:rPr>
        <w:t>采购方式管理暂行办法有关问题的补充通知》</w:t>
      </w:r>
      <w:r>
        <w:rPr>
          <w:rFonts w:ascii="宋体" w:hAnsi="宋体" w:eastAsia="宋体" w:cs="宋体"/>
          <w:spacing w:val="2"/>
          <w:sz w:val="24"/>
        </w:rPr>
        <w:t>规定情形的，可以推荐2家成交候选供应商。评审得分相同的，按照最后报价由低到高的</w:t>
      </w:r>
    </w:p>
    <w:p w14:paraId="63BFBB8D">
      <w:pPr>
        <w:spacing w:before="1" w:line="217" w:lineRule="auto"/>
        <w:ind w:left="124"/>
        <w:rPr>
          <w:rFonts w:ascii="宋体" w:hAnsi="宋体" w:eastAsia="宋体" w:cs="宋体"/>
          <w:sz w:val="24"/>
        </w:rPr>
      </w:pPr>
      <w:r>
        <w:rPr>
          <w:rFonts w:ascii="宋体" w:hAnsi="宋体" w:eastAsia="宋体" w:cs="宋体"/>
          <w:spacing w:val="-2"/>
          <w:sz w:val="24"/>
        </w:rPr>
        <w:t>顺序推荐。评审得分且最后报价相同的，按照技术指标优劣顺序推荐。</w:t>
      </w:r>
    </w:p>
    <w:p w14:paraId="4D8AFC32">
      <w:pPr>
        <w:sectPr>
          <w:footerReference r:id="rId11" w:type="default"/>
          <w:pgSz w:w="11900" w:h="16840"/>
          <w:pgMar w:top="400" w:right="1175" w:bottom="1391" w:left="1145" w:header="0" w:footer="1262" w:gutter="0"/>
          <w:cols w:space="720" w:num="1"/>
        </w:sectPr>
      </w:pPr>
    </w:p>
    <w:p w14:paraId="67F9DA2F">
      <w:pPr>
        <w:pStyle w:val="2"/>
        <w:spacing w:line="360" w:lineRule="auto"/>
        <w:jc w:val="center"/>
      </w:pPr>
      <w:bookmarkStart w:id="157" w:name="_Toc211511486"/>
      <w:r>
        <w:rPr>
          <w:rFonts w:hint="eastAsia"/>
        </w:rPr>
        <w:t>第六部分磋商响应文件(格式)</w:t>
      </w:r>
      <w:bookmarkEnd w:id="157"/>
    </w:p>
    <w:p w14:paraId="77343CF9">
      <w:pPr>
        <w:spacing w:line="268" w:lineRule="auto"/>
        <w:rPr>
          <w:rFonts w:ascii="Arial"/>
        </w:rPr>
      </w:pPr>
    </w:p>
    <w:p w14:paraId="2A141EFC">
      <w:pPr>
        <w:spacing w:line="268" w:lineRule="auto"/>
        <w:rPr>
          <w:rFonts w:ascii="Arial"/>
        </w:rPr>
      </w:pPr>
    </w:p>
    <w:p w14:paraId="60F56D35">
      <w:pPr>
        <w:spacing w:line="268" w:lineRule="auto"/>
        <w:rPr>
          <w:rFonts w:ascii="Arial"/>
        </w:rPr>
      </w:pPr>
    </w:p>
    <w:p w14:paraId="426B64EB">
      <w:pPr>
        <w:spacing w:line="269" w:lineRule="auto"/>
        <w:rPr>
          <w:rFonts w:ascii="Arial"/>
        </w:rPr>
      </w:pPr>
    </w:p>
    <w:p w14:paraId="2D0B5CF8">
      <w:pPr>
        <w:spacing w:line="269" w:lineRule="auto"/>
        <w:rPr>
          <w:rFonts w:ascii="Arial"/>
        </w:rPr>
      </w:pPr>
    </w:p>
    <w:p w14:paraId="27FA6884">
      <w:pPr>
        <w:spacing w:line="269" w:lineRule="auto"/>
        <w:rPr>
          <w:rFonts w:ascii="Arial"/>
        </w:rPr>
      </w:pPr>
    </w:p>
    <w:p w14:paraId="4C88624D">
      <w:pPr>
        <w:jc w:val="center"/>
        <w:outlineLvl w:val="1"/>
        <w:rPr>
          <w:b/>
          <w:bCs/>
          <w:sz w:val="44"/>
          <w:szCs w:val="44"/>
        </w:rPr>
      </w:pPr>
      <w:bookmarkStart w:id="158" w:name="_Toc211511487"/>
      <w:r>
        <w:rPr>
          <w:b/>
          <w:bCs/>
          <w:sz w:val="44"/>
          <w:szCs w:val="44"/>
        </w:rPr>
        <w:t>磋商响应文件</w:t>
      </w:r>
      <w:bookmarkEnd w:id="158"/>
    </w:p>
    <w:p w14:paraId="272FEF5A">
      <w:pPr>
        <w:spacing w:line="260" w:lineRule="auto"/>
        <w:jc w:val="center"/>
        <w:rPr>
          <w:rFonts w:ascii="Arial"/>
        </w:rPr>
      </w:pPr>
    </w:p>
    <w:p w14:paraId="74FE1F31">
      <w:pPr>
        <w:spacing w:line="260" w:lineRule="auto"/>
        <w:jc w:val="center"/>
        <w:rPr>
          <w:rFonts w:ascii="Arial"/>
        </w:rPr>
      </w:pPr>
    </w:p>
    <w:p w14:paraId="53FF904A">
      <w:pPr>
        <w:spacing w:line="260" w:lineRule="auto"/>
        <w:jc w:val="center"/>
        <w:rPr>
          <w:rFonts w:ascii="Arial"/>
        </w:rPr>
      </w:pPr>
    </w:p>
    <w:p w14:paraId="0E4F3988">
      <w:pPr>
        <w:spacing w:line="260" w:lineRule="auto"/>
        <w:jc w:val="center"/>
        <w:rPr>
          <w:rFonts w:ascii="Arial"/>
        </w:rPr>
      </w:pPr>
    </w:p>
    <w:p w14:paraId="105ED74C">
      <w:pPr>
        <w:spacing w:line="260" w:lineRule="auto"/>
        <w:jc w:val="center"/>
        <w:rPr>
          <w:rFonts w:ascii="Arial"/>
        </w:rPr>
      </w:pPr>
    </w:p>
    <w:p w14:paraId="21763DA0">
      <w:pPr>
        <w:spacing w:before="107" w:line="219" w:lineRule="auto"/>
        <w:jc w:val="center"/>
        <w:rPr>
          <w:rFonts w:hint="eastAsia" w:ascii="宋体" w:hAnsi="宋体" w:eastAsia="宋体" w:cs="宋体"/>
          <w:sz w:val="30"/>
          <w:szCs w:val="30"/>
          <w:highlight w:val="none"/>
          <w:lang w:eastAsia="zh-CN"/>
        </w:rPr>
      </w:pPr>
      <w:r>
        <w:rPr>
          <w:rFonts w:ascii="宋体" w:hAnsi="宋体" w:eastAsia="宋体" w:cs="宋体"/>
          <w:b/>
          <w:bCs/>
          <w:spacing w:val="-24"/>
          <w:sz w:val="30"/>
          <w:szCs w:val="30"/>
        </w:rPr>
        <w:t>项目编号：</w:t>
      </w:r>
      <w:r>
        <w:rPr>
          <w:rFonts w:ascii="宋体" w:hAnsi="宋体" w:eastAsia="宋体" w:cs="宋体"/>
          <w:b/>
          <w:bCs/>
          <w:spacing w:val="-24"/>
          <w:sz w:val="30"/>
          <w:szCs w:val="30"/>
        </w:rPr>
        <w:tab/>
      </w:r>
      <w:r>
        <w:rPr>
          <w:rFonts w:hint="eastAsia" w:ascii="宋体" w:hAnsi="宋体" w:eastAsia="宋体" w:cs="宋体"/>
          <w:b/>
          <w:bCs/>
          <w:spacing w:val="-24"/>
          <w:sz w:val="30"/>
          <w:szCs w:val="30"/>
          <w:highlight w:val="none"/>
          <w:lang w:eastAsia="zh-CN"/>
        </w:rPr>
        <w:t>JSZC-321112-STGC-C2025-0011</w:t>
      </w:r>
    </w:p>
    <w:p w14:paraId="5026F3BF">
      <w:pPr>
        <w:spacing w:line="268" w:lineRule="auto"/>
        <w:jc w:val="center"/>
        <w:rPr>
          <w:rFonts w:ascii="Arial"/>
          <w:highlight w:val="yellow"/>
        </w:rPr>
      </w:pPr>
    </w:p>
    <w:p w14:paraId="0161D150">
      <w:pPr>
        <w:spacing w:line="268" w:lineRule="auto"/>
        <w:jc w:val="center"/>
        <w:rPr>
          <w:rFonts w:ascii="Arial"/>
        </w:rPr>
      </w:pPr>
    </w:p>
    <w:p w14:paraId="20A7A542">
      <w:pPr>
        <w:spacing w:line="269" w:lineRule="auto"/>
        <w:jc w:val="center"/>
        <w:rPr>
          <w:rFonts w:ascii="Arial"/>
        </w:rPr>
      </w:pPr>
    </w:p>
    <w:p w14:paraId="5A7B9B7C">
      <w:pPr>
        <w:spacing w:line="269" w:lineRule="auto"/>
        <w:jc w:val="center"/>
        <w:rPr>
          <w:rFonts w:ascii="Arial"/>
        </w:rPr>
      </w:pPr>
    </w:p>
    <w:p w14:paraId="5308C677">
      <w:pPr>
        <w:spacing w:line="269" w:lineRule="auto"/>
        <w:jc w:val="center"/>
        <w:rPr>
          <w:rFonts w:ascii="Arial"/>
        </w:rPr>
      </w:pPr>
    </w:p>
    <w:p w14:paraId="12B2A04B">
      <w:pPr>
        <w:spacing w:line="269" w:lineRule="auto"/>
        <w:jc w:val="center"/>
        <w:rPr>
          <w:rFonts w:ascii="Arial"/>
        </w:rPr>
      </w:pPr>
    </w:p>
    <w:p w14:paraId="69BC27A6">
      <w:pPr>
        <w:spacing w:before="107" w:line="219" w:lineRule="auto"/>
        <w:jc w:val="center"/>
        <w:rPr>
          <w:rFonts w:ascii="宋体" w:hAnsi="宋体" w:eastAsia="宋体" w:cs="宋体"/>
          <w:b/>
          <w:bCs/>
          <w:spacing w:val="-24"/>
          <w:sz w:val="30"/>
          <w:szCs w:val="30"/>
        </w:rPr>
      </w:pPr>
      <w:r>
        <w:rPr>
          <w:rFonts w:ascii="宋体" w:hAnsi="宋体" w:eastAsia="宋体" w:cs="宋体"/>
          <w:b/>
          <w:bCs/>
          <w:spacing w:val="-24"/>
          <w:sz w:val="30"/>
          <w:szCs w:val="30"/>
        </w:rPr>
        <w:t>项目名称：</w:t>
      </w:r>
    </w:p>
    <w:p w14:paraId="7249F34D">
      <w:pPr>
        <w:spacing w:before="107" w:line="219" w:lineRule="auto"/>
        <w:jc w:val="center"/>
        <w:rPr>
          <w:rFonts w:ascii="宋体" w:hAnsi="宋体" w:eastAsia="宋体" w:cs="宋体"/>
          <w:b/>
          <w:bCs/>
          <w:spacing w:val="-24"/>
          <w:sz w:val="30"/>
          <w:szCs w:val="30"/>
        </w:rPr>
      </w:pPr>
    </w:p>
    <w:p w14:paraId="1A07D5AC">
      <w:pPr>
        <w:spacing w:before="107" w:line="219" w:lineRule="auto"/>
        <w:jc w:val="center"/>
        <w:rPr>
          <w:rFonts w:ascii="宋体" w:hAnsi="宋体" w:eastAsia="宋体" w:cs="宋体"/>
          <w:b/>
          <w:bCs/>
          <w:spacing w:val="-24"/>
          <w:sz w:val="30"/>
          <w:szCs w:val="30"/>
        </w:rPr>
      </w:pPr>
    </w:p>
    <w:p w14:paraId="399CF556">
      <w:pPr>
        <w:spacing w:before="107" w:line="219" w:lineRule="auto"/>
        <w:jc w:val="center"/>
        <w:rPr>
          <w:rFonts w:ascii="宋体" w:hAnsi="宋体" w:eastAsia="宋体" w:cs="宋体"/>
          <w:b/>
          <w:bCs/>
          <w:spacing w:val="-24"/>
          <w:sz w:val="30"/>
          <w:szCs w:val="30"/>
        </w:rPr>
      </w:pPr>
    </w:p>
    <w:p w14:paraId="557CB384">
      <w:pPr>
        <w:spacing w:before="107" w:line="219" w:lineRule="auto"/>
        <w:jc w:val="center"/>
        <w:rPr>
          <w:rFonts w:ascii="宋体" w:hAnsi="宋体" w:eastAsia="宋体" w:cs="宋体"/>
          <w:b/>
          <w:bCs/>
          <w:spacing w:val="-24"/>
          <w:sz w:val="30"/>
          <w:szCs w:val="30"/>
        </w:rPr>
      </w:pPr>
    </w:p>
    <w:p w14:paraId="2BFFAF8A">
      <w:pPr>
        <w:spacing w:before="107" w:line="219" w:lineRule="auto"/>
        <w:jc w:val="center"/>
        <w:rPr>
          <w:rFonts w:ascii="宋体" w:hAnsi="宋体" w:eastAsia="宋体" w:cs="宋体"/>
          <w:b/>
          <w:bCs/>
          <w:spacing w:val="-24"/>
          <w:sz w:val="30"/>
          <w:szCs w:val="30"/>
        </w:rPr>
      </w:pPr>
      <w:r>
        <w:rPr>
          <w:rFonts w:ascii="宋体" w:hAnsi="宋体" w:eastAsia="宋体" w:cs="宋体"/>
          <w:b/>
          <w:bCs/>
          <w:spacing w:val="-24"/>
          <w:sz w:val="30"/>
          <w:szCs w:val="30"/>
        </w:rPr>
        <w:t>供应商(加盖公章):</w:t>
      </w:r>
    </w:p>
    <w:p w14:paraId="0AFDF9C8">
      <w:pPr>
        <w:spacing w:before="107" w:line="219" w:lineRule="auto"/>
        <w:rPr>
          <w:rFonts w:ascii="宋体" w:hAnsi="宋体" w:eastAsia="宋体" w:cs="宋体"/>
          <w:b/>
          <w:bCs/>
          <w:spacing w:val="-24"/>
          <w:sz w:val="30"/>
          <w:szCs w:val="30"/>
        </w:rPr>
      </w:pPr>
    </w:p>
    <w:p w14:paraId="4C642D6B">
      <w:pPr>
        <w:spacing w:line="275" w:lineRule="auto"/>
        <w:rPr>
          <w:rFonts w:ascii="Arial"/>
        </w:rPr>
      </w:pPr>
    </w:p>
    <w:p w14:paraId="3A2F51D1">
      <w:pPr>
        <w:spacing w:line="275" w:lineRule="auto"/>
        <w:rPr>
          <w:rFonts w:ascii="Arial"/>
        </w:rPr>
      </w:pPr>
    </w:p>
    <w:p w14:paraId="446280A3">
      <w:pPr>
        <w:spacing w:line="275" w:lineRule="auto"/>
        <w:rPr>
          <w:rFonts w:ascii="Arial"/>
        </w:rPr>
      </w:pPr>
    </w:p>
    <w:p w14:paraId="11EDD285">
      <w:pPr>
        <w:spacing w:line="275" w:lineRule="auto"/>
        <w:rPr>
          <w:rFonts w:ascii="Arial"/>
        </w:rPr>
      </w:pPr>
    </w:p>
    <w:p w14:paraId="6BB201F8">
      <w:pPr>
        <w:spacing w:before="107" w:line="219" w:lineRule="auto"/>
        <w:jc w:val="center"/>
        <w:rPr>
          <w:rFonts w:ascii="宋体" w:hAnsi="宋体" w:eastAsia="宋体" w:cs="宋体"/>
          <w:b/>
          <w:bCs/>
          <w:spacing w:val="-24"/>
          <w:sz w:val="30"/>
          <w:szCs w:val="30"/>
        </w:rPr>
      </w:pPr>
      <w:r>
        <w:rPr>
          <w:rFonts w:ascii="宋体" w:hAnsi="宋体" w:eastAsia="宋体" w:cs="宋体"/>
          <w:b/>
          <w:bCs/>
          <w:spacing w:val="-24"/>
          <w:sz w:val="30"/>
          <w:szCs w:val="30"/>
        </w:rPr>
        <w:t>日期：</w:t>
      </w:r>
    </w:p>
    <w:p w14:paraId="27027624">
      <w:pPr>
        <w:spacing w:before="107" w:line="219" w:lineRule="auto"/>
        <w:jc w:val="center"/>
        <w:rPr>
          <w:rFonts w:ascii="宋体" w:hAnsi="宋体" w:eastAsia="宋体" w:cs="宋体"/>
          <w:b/>
          <w:bCs/>
          <w:spacing w:val="-24"/>
          <w:sz w:val="30"/>
          <w:szCs w:val="30"/>
        </w:rPr>
        <w:sectPr>
          <w:headerReference r:id="rId12" w:type="default"/>
          <w:footerReference r:id="rId13" w:type="default"/>
          <w:pgSz w:w="11900" w:h="16840"/>
          <w:pgMar w:top="1129" w:right="1239" w:bottom="1391" w:left="1190" w:header="1120" w:footer="1262" w:gutter="0"/>
          <w:cols w:space="720" w:num="1"/>
        </w:sectPr>
      </w:pPr>
    </w:p>
    <w:p w14:paraId="247AFE0C">
      <w:pPr>
        <w:pStyle w:val="3"/>
        <w:spacing w:line="360" w:lineRule="auto"/>
        <w:jc w:val="center"/>
        <w:sectPr>
          <w:headerReference r:id="rId14" w:type="default"/>
          <w:footerReference r:id="rId15" w:type="default"/>
          <w:pgSz w:w="11906" w:h="16838"/>
          <w:pgMar w:top="1440" w:right="1242" w:bottom="1440" w:left="1242" w:header="851" w:footer="992" w:gutter="0"/>
          <w:cols w:space="425" w:num="1"/>
          <w:docGrid w:type="lines" w:linePitch="312" w:charSpace="0"/>
        </w:sectPr>
      </w:pPr>
      <w:bookmarkStart w:id="159" w:name="_Toc211511488"/>
      <w:r>
        <w:rPr>
          <w:rFonts w:hint="eastAsia"/>
        </w:rPr>
        <w:t>一、资格部分</w:t>
      </w:r>
      <w:bookmarkEnd w:id="159"/>
    </w:p>
    <w:p w14:paraId="1D70EA54">
      <w:pPr>
        <w:jc w:val="center"/>
        <w:outlineLvl w:val="2"/>
        <w:rPr>
          <w:rFonts w:ascii="Times New Roman" w:hAnsi="Times New Roman" w:eastAsia="宋体" w:cs="Times New Roman"/>
          <w:sz w:val="28"/>
          <w:szCs w:val="28"/>
        </w:rPr>
      </w:pPr>
      <w:bookmarkStart w:id="160" w:name="_Toc211511489"/>
      <w:r>
        <w:rPr>
          <w:rFonts w:hint="eastAsia" w:ascii="Times New Roman" w:hAnsi="Times New Roman" w:eastAsia="宋体" w:cs="Times New Roman"/>
          <w:sz w:val="28"/>
          <w:szCs w:val="28"/>
        </w:rPr>
        <w:t>（一）</w:t>
      </w:r>
      <w:r>
        <w:rPr>
          <w:rFonts w:ascii="Times New Roman" w:hAnsi="Times New Roman" w:eastAsia="宋体" w:cs="Times New Roman"/>
          <w:sz w:val="28"/>
          <w:szCs w:val="28"/>
        </w:rPr>
        <w:t>磋商承诺函</w:t>
      </w:r>
      <w:bookmarkEnd w:id="160"/>
    </w:p>
    <w:p w14:paraId="0FDA5570">
      <w:pPr>
        <w:spacing w:line="292" w:lineRule="auto"/>
        <w:rPr>
          <w:rFonts w:ascii="Arial"/>
        </w:rPr>
      </w:pPr>
    </w:p>
    <w:p w14:paraId="460C50A6">
      <w:pPr>
        <w:spacing w:line="292" w:lineRule="auto"/>
        <w:rPr>
          <w:rFonts w:ascii="Arial"/>
        </w:rPr>
      </w:pPr>
    </w:p>
    <w:p w14:paraId="617EDB86">
      <w:pPr>
        <w:spacing w:line="440" w:lineRule="exact"/>
        <w:rPr>
          <w:rFonts w:ascii="宋体" w:hAnsi="宋体" w:eastAsia="宋体" w:cs="宋体"/>
          <w:sz w:val="24"/>
        </w:rPr>
      </w:pPr>
      <w:r>
        <w:rPr>
          <w:rFonts w:hint="eastAsia" w:ascii="宋体" w:hAnsi="宋体" w:eastAsia="宋体" w:cs="宋体"/>
          <w:sz w:val="24"/>
        </w:rPr>
        <w:t>致：(磋商组织方)</w:t>
      </w:r>
    </w:p>
    <w:p w14:paraId="5AB8A11C">
      <w:pPr>
        <w:spacing w:line="440" w:lineRule="exact"/>
        <w:ind w:firstLine="480" w:firstLineChars="200"/>
        <w:rPr>
          <w:rFonts w:ascii="宋体" w:hAnsi="宋体" w:eastAsia="宋体" w:cs="宋体"/>
          <w:sz w:val="24"/>
        </w:rPr>
      </w:pPr>
      <w:r>
        <w:rPr>
          <w:rFonts w:hint="eastAsia" w:ascii="宋体" w:hAnsi="宋体" w:eastAsia="宋体" w:cs="宋体"/>
          <w:sz w:val="24"/>
        </w:rPr>
        <w:t>根据贵方关于的磋商邀请，我方已完全理解磋商文件的所有内容。</w:t>
      </w:r>
    </w:p>
    <w:p w14:paraId="78098B8E">
      <w:pPr>
        <w:spacing w:line="440" w:lineRule="exact"/>
        <w:ind w:firstLine="480" w:firstLineChars="200"/>
        <w:rPr>
          <w:rFonts w:ascii="宋体" w:hAnsi="宋体" w:eastAsia="宋体" w:cs="宋体"/>
          <w:sz w:val="24"/>
        </w:rPr>
      </w:pPr>
      <w:r>
        <w:rPr>
          <w:rFonts w:hint="eastAsia" w:ascii="宋体" w:hAnsi="宋体" w:eastAsia="宋体" w:cs="宋体"/>
          <w:sz w:val="24"/>
        </w:rPr>
        <w:t>据此函，我方兹宣布同意如下：</w:t>
      </w:r>
    </w:p>
    <w:p w14:paraId="213BC55E">
      <w:pPr>
        <w:spacing w:line="440" w:lineRule="exact"/>
        <w:ind w:firstLine="480" w:firstLineChars="200"/>
        <w:rPr>
          <w:rFonts w:ascii="宋体" w:hAnsi="宋体" w:eastAsia="宋体" w:cs="宋体"/>
          <w:sz w:val="24"/>
        </w:rPr>
      </w:pPr>
      <w:r>
        <w:rPr>
          <w:rFonts w:hint="eastAsia" w:ascii="宋体" w:hAnsi="宋体" w:eastAsia="宋体" w:cs="宋体"/>
          <w:sz w:val="24"/>
        </w:rPr>
        <w:t>1.我方承诺：我方完全具备《政府采购法》第二十二条第一款规定的条件以及本项目</w:t>
      </w:r>
    </w:p>
    <w:p w14:paraId="0D0F6784">
      <w:pPr>
        <w:spacing w:line="440" w:lineRule="exact"/>
        <w:rPr>
          <w:rFonts w:ascii="宋体" w:hAnsi="宋体" w:eastAsia="宋体" w:cs="宋体"/>
          <w:sz w:val="24"/>
        </w:rPr>
      </w:pPr>
      <w:r>
        <w:rPr>
          <w:rFonts w:hint="eastAsia" w:ascii="宋体" w:hAnsi="宋体" w:eastAsia="宋体" w:cs="宋体"/>
          <w:sz w:val="24"/>
        </w:rPr>
        <w:t>磋商文件规定的参加磋商供应商须满足的特定条件。</w:t>
      </w:r>
    </w:p>
    <w:p w14:paraId="2302E78E">
      <w:pPr>
        <w:spacing w:line="440" w:lineRule="exact"/>
        <w:ind w:firstLine="480" w:firstLineChars="200"/>
        <w:rPr>
          <w:rFonts w:ascii="宋体" w:hAnsi="宋体" w:eastAsia="宋体" w:cs="宋体"/>
          <w:sz w:val="24"/>
        </w:rPr>
      </w:pPr>
      <w:r>
        <w:rPr>
          <w:rFonts w:hint="eastAsia" w:ascii="宋体" w:hAnsi="宋体" w:eastAsia="宋体" w:cs="宋体"/>
          <w:sz w:val="24"/>
        </w:rPr>
        <w:t>2.我方承诺：参加本次采购活动前三年内，在经营活动中没有重大违法记录。</w:t>
      </w:r>
    </w:p>
    <w:p w14:paraId="4179F9B1">
      <w:pPr>
        <w:spacing w:line="440" w:lineRule="exact"/>
        <w:ind w:firstLine="480" w:firstLineChars="200"/>
        <w:rPr>
          <w:rFonts w:ascii="宋体" w:hAnsi="宋体" w:eastAsia="宋体" w:cs="宋体"/>
          <w:sz w:val="24"/>
        </w:rPr>
      </w:pPr>
      <w:r>
        <w:rPr>
          <w:rFonts w:hint="eastAsia" w:ascii="宋体" w:hAnsi="宋体" w:eastAsia="宋体" w:cs="宋体"/>
          <w:sz w:val="24"/>
        </w:rPr>
        <w:t>3.我方承诺：我方信用记录中没有被列入失信被执行人、没有被列入重大税收违法案</w:t>
      </w:r>
    </w:p>
    <w:p w14:paraId="7F6CE399">
      <w:pPr>
        <w:spacing w:line="440" w:lineRule="exact"/>
        <w:rPr>
          <w:rFonts w:ascii="宋体" w:hAnsi="宋体" w:eastAsia="宋体" w:cs="宋体"/>
          <w:sz w:val="24"/>
        </w:rPr>
      </w:pPr>
      <w:r>
        <w:rPr>
          <w:rFonts w:hint="eastAsia" w:ascii="宋体" w:hAnsi="宋体" w:eastAsia="宋体" w:cs="宋体"/>
          <w:sz w:val="24"/>
        </w:rPr>
        <w:t>件名单、没有被列入政府采购违法失信行为记录名单。</w:t>
      </w:r>
    </w:p>
    <w:p w14:paraId="0F645ECB">
      <w:pPr>
        <w:spacing w:line="440" w:lineRule="exact"/>
        <w:ind w:firstLine="480" w:firstLineChars="200"/>
        <w:rPr>
          <w:rFonts w:ascii="宋体" w:hAnsi="宋体" w:eastAsia="宋体" w:cs="宋体"/>
          <w:sz w:val="24"/>
        </w:rPr>
      </w:pPr>
      <w:r>
        <w:rPr>
          <w:rFonts w:hint="eastAsia" w:ascii="宋体" w:hAnsi="宋体" w:eastAsia="宋体" w:cs="宋体"/>
          <w:sz w:val="24"/>
        </w:rPr>
        <w:t>4.我方承诺按磋商文件要求提供的服务及货物的磋商报价见报价一览表。</w:t>
      </w:r>
    </w:p>
    <w:p w14:paraId="18954F1D">
      <w:pPr>
        <w:spacing w:line="440" w:lineRule="exact"/>
        <w:ind w:firstLine="480" w:firstLineChars="200"/>
        <w:rPr>
          <w:rFonts w:ascii="宋体" w:hAnsi="宋体" w:eastAsia="宋体" w:cs="宋体"/>
          <w:sz w:val="24"/>
        </w:rPr>
      </w:pPr>
      <w:r>
        <w:rPr>
          <w:rFonts w:hint="eastAsia" w:ascii="宋体" w:hAnsi="宋体" w:eastAsia="宋体" w:cs="宋体"/>
          <w:sz w:val="24"/>
        </w:rPr>
        <w:t>5.我方承诺根据磋商文件的规定，完成合同义务，并承担责任(如有偏离，在响应文</w:t>
      </w:r>
    </w:p>
    <w:p w14:paraId="3308DC4F">
      <w:pPr>
        <w:spacing w:line="440" w:lineRule="exact"/>
        <w:rPr>
          <w:rFonts w:ascii="宋体" w:hAnsi="宋体" w:eastAsia="宋体" w:cs="宋体"/>
          <w:sz w:val="24"/>
        </w:rPr>
      </w:pPr>
      <w:r>
        <w:rPr>
          <w:rFonts w:hint="eastAsia" w:ascii="宋体" w:hAnsi="宋体" w:eastAsia="宋体" w:cs="宋体"/>
          <w:sz w:val="24"/>
        </w:rPr>
        <w:t>件中另作说明)。</w:t>
      </w:r>
    </w:p>
    <w:p w14:paraId="75F89531">
      <w:pPr>
        <w:spacing w:line="440" w:lineRule="exact"/>
        <w:ind w:firstLine="480" w:firstLineChars="200"/>
        <w:rPr>
          <w:rFonts w:ascii="宋体" w:hAnsi="宋体" w:eastAsia="宋体" w:cs="宋体"/>
          <w:sz w:val="24"/>
        </w:rPr>
      </w:pPr>
      <w:r>
        <w:rPr>
          <w:rFonts w:hint="eastAsia" w:ascii="宋体" w:hAnsi="宋体" w:eastAsia="宋体" w:cs="宋体"/>
          <w:sz w:val="24"/>
        </w:rPr>
        <w:t>6.我方已详读全部磋商文件，包括磋商文件书面修改通知(如有),我方完全理解并</w:t>
      </w:r>
    </w:p>
    <w:p w14:paraId="5C80787A">
      <w:pPr>
        <w:spacing w:line="440" w:lineRule="exact"/>
        <w:rPr>
          <w:rFonts w:ascii="宋体" w:hAnsi="宋体" w:eastAsia="宋体" w:cs="宋体"/>
          <w:sz w:val="24"/>
        </w:rPr>
      </w:pPr>
      <w:r>
        <w:rPr>
          <w:rFonts w:hint="eastAsia" w:ascii="宋体" w:hAnsi="宋体" w:eastAsia="宋体" w:cs="宋体"/>
          <w:sz w:val="24"/>
        </w:rPr>
        <w:t>同意放弃对这方面不明及误解的权利。</w:t>
      </w:r>
    </w:p>
    <w:p w14:paraId="479ACDF1">
      <w:pPr>
        <w:spacing w:line="440" w:lineRule="exact"/>
        <w:ind w:firstLine="480" w:firstLineChars="200"/>
        <w:rPr>
          <w:rFonts w:ascii="宋体" w:hAnsi="宋体" w:eastAsia="宋体" w:cs="宋体"/>
          <w:sz w:val="24"/>
        </w:rPr>
      </w:pPr>
      <w:r>
        <w:rPr>
          <w:rFonts w:hint="eastAsia" w:ascii="宋体" w:hAnsi="宋体" w:eastAsia="宋体" w:cs="宋体"/>
          <w:sz w:val="24"/>
        </w:rPr>
        <w:t>7.我方承诺响应文件及所有材料的完整、真实、合法、有效，并对其负责。承诺在</w:t>
      </w:r>
    </w:p>
    <w:p w14:paraId="18DB666D">
      <w:pPr>
        <w:spacing w:line="440" w:lineRule="exact"/>
        <w:rPr>
          <w:rFonts w:ascii="宋体" w:hAnsi="宋体" w:eastAsia="宋体" w:cs="宋体"/>
          <w:sz w:val="24"/>
        </w:rPr>
      </w:pPr>
      <w:r>
        <w:rPr>
          <w:rFonts w:hint="eastAsia" w:ascii="宋体" w:hAnsi="宋体" w:eastAsia="宋体" w:cs="宋体"/>
          <w:sz w:val="24"/>
        </w:rPr>
        <w:t>磋商期间，如磋商小组对我方提出澄清要求，将及时作出响应，否则自行承担后果。</w:t>
      </w:r>
    </w:p>
    <w:p w14:paraId="33F52F34">
      <w:pPr>
        <w:spacing w:line="440" w:lineRule="exact"/>
        <w:ind w:firstLine="480" w:firstLineChars="200"/>
        <w:rPr>
          <w:rFonts w:ascii="宋体" w:hAnsi="宋体" w:eastAsia="宋体" w:cs="宋体"/>
          <w:sz w:val="24"/>
        </w:rPr>
      </w:pPr>
      <w:r>
        <w:rPr>
          <w:rFonts w:hint="eastAsia" w:ascii="宋体" w:hAnsi="宋体" w:eastAsia="宋体" w:cs="宋体"/>
          <w:sz w:val="24"/>
        </w:rPr>
        <w:t>8.我方同意从规定的磋商日期起遵循本磋商文件，并在规定的磋商有效期期满之前</w:t>
      </w:r>
    </w:p>
    <w:p w14:paraId="60209BEE">
      <w:pPr>
        <w:spacing w:line="440" w:lineRule="exact"/>
        <w:rPr>
          <w:rFonts w:ascii="宋体" w:hAnsi="宋体" w:eastAsia="宋体" w:cs="宋体"/>
          <w:sz w:val="24"/>
        </w:rPr>
      </w:pPr>
      <w:r>
        <w:rPr>
          <w:rFonts w:hint="eastAsia" w:ascii="宋体" w:hAnsi="宋体" w:eastAsia="宋体" w:cs="宋体"/>
          <w:sz w:val="24"/>
        </w:rPr>
        <w:t>均具有约束力。</w:t>
      </w:r>
    </w:p>
    <w:p w14:paraId="5E0AE295">
      <w:pPr>
        <w:spacing w:line="440" w:lineRule="exact"/>
        <w:ind w:firstLine="480" w:firstLineChars="200"/>
        <w:rPr>
          <w:rFonts w:ascii="宋体" w:hAnsi="宋体" w:eastAsia="宋体" w:cs="宋体"/>
          <w:sz w:val="24"/>
        </w:rPr>
      </w:pPr>
      <w:r>
        <w:rPr>
          <w:rFonts w:hint="eastAsia" w:ascii="宋体" w:hAnsi="宋体" w:eastAsia="宋体" w:cs="宋体"/>
          <w:sz w:val="24"/>
        </w:rPr>
        <w:t>9.我方同意向贵方提供贵方可能要求的与本磋商有关的任何证据或资料。</w:t>
      </w:r>
    </w:p>
    <w:p w14:paraId="62A36843">
      <w:pPr>
        <w:spacing w:line="440" w:lineRule="exact"/>
        <w:ind w:firstLine="480" w:firstLineChars="200"/>
        <w:rPr>
          <w:rFonts w:ascii="宋体" w:hAnsi="宋体" w:eastAsia="宋体" w:cs="宋体"/>
          <w:sz w:val="24"/>
        </w:rPr>
      </w:pPr>
      <w:r>
        <w:rPr>
          <w:rFonts w:hint="eastAsia" w:ascii="宋体" w:hAnsi="宋体" w:eastAsia="宋体" w:cs="宋体"/>
          <w:sz w:val="24"/>
        </w:rPr>
        <w:t>10.我方知道如用虚假材料或恶意方式向贵方提出质疑，将承担相应的法律责任。同</w:t>
      </w:r>
    </w:p>
    <w:p w14:paraId="31E3AF07">
      <w:pPr>
        <w:spacing w:line="440" w:lineRule="exact"/>
        <w:rPr>
          <w:rFonts w:ascii="宋体" w:hAnsi="宋体" w:eastAsia="宋体" w:cs="宋体"/>
          <w:sz w:val="24"/>
        </w:rPr>
      </w:pPr>
      <w:r>
        <w:rPr>
          <w:rFonts w:hint="eastAsia" w:ascii="宋体" w:hAnsi="宋体" w:eastAsia="宋体" w:cs="宋体"/>
          <w:sz w:val="24"/>
        </w:rPr>
        <w:t>时承诺：我方如果有上述行为，将无条件承担贵方相关的调查论证费用。</w:t>
      </w:r>
    </w:p>
    <w:p w14:paraId="06BE6D79">
      <w:pPr>
        <w:spacing w:line="440" w:lineRule="exact"/>
        <w:ind w:firstLine="480" w:firstLineChars="200"/>
        <w:rPr>
          <w:rFonts w:ascii="宋体" w:hAnsi="宋体" w:eastAsia="宋体" w:cs="宋体"/>
          <w:sz w:val="24"/>
        </w:rPr>
      </w:pPr>
      <w:r>
        <w:rPr>
          <w:rFonts w:hint="eastAsia" w:ascii="宋体" w:hAnsi="宋体" w:eastAsia="宋体" w:cs="宋体"/>
          <w:sz w:val="24"/>
        </w:rPr>
        <w:t>11.本次响应文件内容与磋商文件内容偏离见磋商偏离表(如果有)。</w:t>
      </w:r>
    </w:p>
    <w:p w14:paraId="527A6AD6">
      <w:pPr>
        <w:spacing w:line="440" w:lineRule="exact"/>
        <w:ind w:firstLine="480" w:firstLineChars="200"/>
        <w:rPr>
          <w:rFonts w:ascii="宋体" w:hAnsi="宋体" w:eastAsia="宋体" w:cs="宋体"/>
          <w:sz w:val="24"/>
        </w:rPr>
      </w:pPr>
      <w:r>
        <w:rPr>
          <w:rFonts w:hint="eastAsia" w:ascii="宋体" w:hAnsi="宋体" w:eastAsia="宋体" w:cs="宋体"/>
          <w:sz w:val="24"/>
        </w:rPr>
        <w:t>12.遵守磋商文件中要求的收费项目和标准。</w:t>
      </w:r>
    </w:p>
    <w:p w14:paraId="3D617034">
      <w:pPr>
        <w:spacing w:line="440" w:lineRule="exact"/>
        <w:ind w:firstLine="480" w:firstLineChars="200"/>
        <w:rPr>
          <w:rFonts w:ascii="宋体" w:hAnsi="宋体" w:eastAsia="宋体" w:cs="宋体"/>
          <w:sz w:val="24"/>
        </w:rPr>
      </w:pPr>
      <w:r>
        <w:rPr>
          <w:rFonts w:hint="eastAsia" w:ascii="宋体" w:hAnsi="宋体" w:eastAsia="宋体" w:cs="宋体"/>
          <w:sz w:val="24"/>
        </w:rPr>
        <w:t>13.我方将严格遵守《中华人民共和国政府采购法》,若存在违法违规行为，自愿承</w:t>
      </w:r>
    </w:p>
    <w:p w14:paraId="5E1A5A46">
      <w:pPr>
        <w:spacing w:line="440" w:lineRule="exact"/>
        <w:rPr>
          <w:rFonts w:ascii="宋体" w:hAnsi="宋体" w:eastAsia="宋体" w:cs="宋体"/>
          <w:sz w:val="24"/>
        </w:rPr>
      </w:pPr>
      <w:r>
        <w:rPr>
          <w:rFonts w:hint="eastAsia" w:ascii="宋体" w:hAnsi="宋体" w:eastAsia="宋体" w:cs="宋体"/>
          <w:sz w:val="24"/>
        </w:rPr>
        <w:t>担相应的法律后果。</w:t>
      </w:r>
    </w:p>
    <w:p w14:paraId="34061209">
      <w:pPr>
        <w:spacing w:line="440" w:lineRule="exact"/>
        <w:ind w:firstLine="480" w:firstLineChars="200"/>
        <w:rPr>
          <w:rFonts w:ascii="宋体" w:hAnsi="宋体" w:eastAsia="宋体" w:cs="宋体"/>
          <w:sz w:val="24"/>
        </w:rPr>
      </w:pPr>
      <w:r>
        <w:rPr>
          <w:rFonts w:hint="eastAsia" w:ascii="宋体" w:hAnsi="宋体" w:eastAsia="宋体" w:cs="宋体"/>
          <w:sz w:val="24"/>
        </w:rPr>
        <w:t>14.与本磋商有关的一切正式往来通讯请寄：</w:t>
      </w:r>
    </w:p>
    <w:p w14:paraId="67EEBE9B">
      <w:pPr>
        <w:spacing w:line="440" w:lineRule="exact"/>
        <w:ind w:left="2520" w:leftChars="1200"/>
        <w:rPr>
          <w:rFonts w:ascii="宋体" w:hAnsi="宋体" w:eastAsia="宋体" w:cs="宋体"/>
          <w:sz w:val="24"/>
        </w:rPr>
      </w:pPr>
      <w:r>
        <w:rPr>
          <w:rFonts w:hint="eastAsia" w:ascii="宋体" w:hAnsi="宋体" w:eastAsia="宋体" w:cs="宋体"/>
          <w:sz w:val="24"/>
        </w:rPr>
        <w:t>地址：电话：</w:t>
      </w:r>
    </w:p>
    <w:p w14:paraId="4D132A42">
      <w:pPr>
        <w:spacing w:line="440" w:lineRule="exact"/>
        <w:ind w:left="2520" w:leftChars="1200"/>
        <w:rPr>
          <w:rFonts w:ascii="宋体" w:hAnsi="宋体" w:eastAsia="宋体" w:cs="宋体"/>
          <w:sz w:val="24"/>
        </w:rPr>
      </w:pPr>
      <w:r>
        <w:rPr>
          <w:rFonts w:hint="eastAsia" w:ascii="宋体" w:hAnsi="宋体" w:eastAsia="宋体" w:cs="宋体"/>
          <w:sz w:val="24"/>
        </w:rPr>
        <w:t>传真：邮政编码：</w:t>
      </w:r>
    </w:p>
    <w:p w14:paraId="7348F9AB">
      <w:pPr>
        <w:spacing w:line="440" w:lineRule="exact"/>
        <w:ind w:left="2520" w:leftChars="1200"/>
        <w:rPr>
          <w:rFonts w:ascii="宋体" w:hAnsi="宋体" w:eastAsia="宋体" w:cs="宋体"/>
          <w:sz w:val="24"/>
        </w:rPr>
      </w:pPr>
      <w:r>
        <w:rPr>
          <w:rFonts w:hint="eastAsia" w:ascii="宋体" w:hAnsi="宋体" w:eastAsia="宋体" w:cs="宋体"/>
          <w:sz w:val="24"/>
        </w:rPr>
        <w:t>供应商(公章):</w:t>
      </w:r>
    </w:p>
    <w:p w14:paraId="519F1134">
      <w:pPr>
        <w:spacing w:line="440" w:lineRule="exact"/>
        <w:ind w:left="2520" w:leftChars="1200"/>
        <w:rPr>
          <w:rFonts w:ascii="宋体" w:hAnsi="宋体" w:eastAsia="宋体" w:cs="宋体"/>
          <w:sz w:val="24"/>
        </w:rPr>
      </w:pPr>
      <w:r>
        <w:rPr>
          <w:rFonts w:hint="eastAsia" w:ascii="宋体" w:hAnsi="宋体" w:eastAsia="宋体" w:cs="宋体"/>
          <w:sz w:val="24"/>
        </w:rPr>
        <w:t>法定代表人签章：</w:t>
      </w:r>
    </w:p>
    <w:p w14:paraId="5E63C9F0">
      <w:pPr>
        <w:spacing w:line="440" w:lineRule="exact"/>
        <w:ind w:left="2520" w:leftChars="1200"/>
        <w:rPr>
          <w:rFonts w:ascii="宋体" w:hAnsi="宋体" w:eastAsia="宋体" w:cs="宋体"/>
          <w:sz w:val="24"/>
        </w:rPr>
      </w:pPr>
      <w:r>
        <w:rPr>
          <w:rFonts w:hint="eastAsia" w:ascii="宋体" w:hAnsi="宋体" w:eastAsia="宋体" w:cs="宋体"/>
          <w:sz w:val="24"/>
        </w:rPr>
        <w:t>日期：</w:t>
      </w:r>
    </w:p>
    <w:p w14:paraId="3546D20E">
      <w:pPr>
        <w:spacing w:line="440" w:lineRule="exact"/>
        <w:ind w:left="2520" w:leftChars="1200"/>
        <w:rPr>
          <w:rFonts w:ascii="宋体" w:hAnsi="宋体" w:eastAsia="宋体" w:cs="宋体"/>
          <w:sz w:val="24"/>
        </w:rPr>
        <w:sectPr>
          <w:footerReference r:id="rId16" w:type="default"/>
          <w:pgSz w:w="11900" w:h="16840"/>
          <w:pgMar w:top="1129" w:right="1239" w:bottom="1391" w:left="1190" w:header="1120" w:footer="1262" w:gutter="0"/>
          <w:cols w:space="720" w:num="1"/>
        </w:sectPr>
      </w:pPr>
    </w:p>
    <w:p w14:paraId="78F54311">
      <w:pPr>
        <w:jc w:val="center"/>
        <w:outlineLvl w:val="2"/>
        <w:rPr>
          <w:rFonts w:ascii="Times New Roman" w:hAnsi="Times New Roman" w:eastAsia="宋体" w:cs="Times New Roman"/>
          <w:sz w:val="28"/>
          <w:szCs w:val="28"/>
        </w:rPr>
      </w:pPr>
      <w:bookmarkStart w:id="161" w:name="_bookmark71"/>
      <w:bookmarkEnd w:id="161"/>
      <w:bookmarkStart w:id="162" w:name="_Toc211511490"/>
      <w:r>
        <w:rPr>
          <w:rFonts w:hint="eastAsia" w:ascii="Times New Roman" w:hAnsi="Times New Roman" w:eastAsia="宋体" w:cs="Times New Roman"/>
          <w:sz w:val="28"/>
          <w:szCs w:val="28"/>
        </w:rPr>
        <w:t>（二）</w:t>
      </w:r>
      <w:r>
        <w:rPr>
          <w:rFonts w:ascii="Times New Roman" w:hAnsi="Times New Roman" w:eastAsia="宋体" w:cs="Times New Roman"/>
          <w:sz w:val="28"/>
          <w:szCs w:val="28"/>
        </w:rPr>
        <w:t>独立承担民事责任的能力</w:t>
      </w:r>
      <w:bookmarkEnd w:id="162"/>
    </w:p>
    <w:p w14:paraId="741AD729">
      <w:pPr>
        <w:spacing w:line="440" w:lineRule="exact"/>
        <w:ind w:firstLine="480" w:firstLineChars="200"/>
        <w:rPr>
          <w:rFonts w:ascii="宋体" w:hAnsi="宋体" w:eastAsia="宋体" w:cs="宋体"/>
          <w:sz w:val="24"/>
        </w:rPr>
        <w:sectPr>
          <w:footerReference r:id="rId17" w:type="default"/>
          <w:pgSz w:w="11900" w:h="16840"/>
          <w:pgMar w:top="1129" w:right="1239" w:bottom="1391" w:left="1190" w:header="1120" w:footer="1262" w:gutter="0"/>
          <w:cols w:space="720" w:num="1"/>
        </w:sectPr>
      </w:pPr>
    </w:p>
    <w:p w14:paraId="44BD46FE">
      <w:pPr>
        <w:jc w:val="center"/>
        <w:outlineLvl w:val="2"/>
        <w:rPr>
          <w:rFonts w:ascii="Times New Roman" w:hAnsi="Times New Roman" w:eastAsia="宋体" w:cs="Times New Roman"/>
          <w:sz w:val="28"/>
          <w:szCs w:val="28"/>
        </w:rPr>
      </w:pPr>
      <w:bookmarkStart w:id="163" w:name="_bookmark72"/>
      <w:bookmarkEnd w:id="163"/>
      <w:bookmarkStart w:id="164" w:name="_Toc211511491"/>
      <w:r>
        <w:rPr>
          <w:rFonts w:hint="eastAsia" w:ascii="Times New Roman" w:hAnsi="Times New Roman" w:eastAsia="宋体" w:cs="Times New Roman"/>
          <w:sz w:val="28"/>
          <w:szCs w:val="28"/>
        </w:rPr>
        <w:t>（三）</w:t>
      </w:r>
      <w:r>
        <w:rPr>
          <w:rFonts w:ascii="Times New Roman" w:hAnsi="Times New Roman" w:eastAsia="宋体" w:cs="Times New Roman"/>
          <w:sz w:val="28"/>
          <w:szCs w:val="28"/>
        </w:rPr>
        <w:t>良好的商业信誉和健全的财务会计制度</w:t>
      </w:r>
      <w:bookmarkEnd w:id="164"/>
    </w:p>
    <w:p w14:paraId="2C5944EF">
      <w:pPr>
        <w:spacing w:line="266" w:lineRule="auto"/>
        <w:rPr>
          <w:rFonts w:ascii="Arial"/>
        </w:rPr>
      </w:pPr>
    </w:p>
    <w:p w14:paraId="77B64350">
      <w:pPr>
        <w:spacing w:line="440" w:lineRule="exact"/>
        <w:ind w:firstLine="480" w:firstLineChars="200"/>
        <w:rPr>
          <w:rFonts w:ascii="宋体" w:hAnsi="宋体" w:eastAsia="宋体" w:cs="宋体"/>
          <w:sz w:val="24"/>
        </w:rPr>
        <w:sectPr>
          <w:footerReference r:id="rId18" w:type="default"/>
          <w:pgSz w:w="11900" w:h="16840"/>
          <w:pgMar w:top="1129" w:right="1239" w:bottom="1391" w:left="1190" w:header="1120" w:footer="1262" w:gutter="0"/>
          <w:cols w:space="720" w:num="1"/>
        </w:sectPr>
      </w:pPr>
    </w:p>
    <w:p w14:paraId="264140A3">
      <w:pPr>
        <w:jc w:val="center"/>
        <w:outlineLvl w:val="2"/>
        <w:rPr>
          <w:rFonts w:ascii="Times New Roman" w:hAnsi="Times New Roman" w:eastAsia="宋体" w:cs="Times New Roman"/>
          <w:sz w:val="28"/>
          <w:szCs w:val="28"/>
        </w:rPr>
      </w:pPr>
      <w:bookmarkStart w:id="165" w:name="_Toc211511492"/>
      <w:r>
        <w:rPr>
          <w:rFonts w:hint="eastAsia" w:ascii="Times New Roman" w:hAnsi="Times New Roman" w:eastAsia="宋体" w:cs="Times New Roman"/>
          <w:sz w:val="28"/>
          <w:szCs w:val="28"/>
        </w:rPr>
        <w:t>（四）</w:t>
      </w:r>
      <w:r>
        <w:rPr>
          <w:rFonts w:ascii="Times New Roman" w:hAnsi="Times New Roman" w:eastAsia="宋体" w:cs="Times New Roman"/>
          <w:sz w:val="28"/>
          <w:szCs w:val="28"/>
        </w:rPr>
        <w:t>履行合同所必需的设备和专业技术能力</w:t>
      </w:r>
      <w:bookmarkEnd w:id="165"/>
    </w:p>
    <w:p w14:paraId="30596856">
      <w:pPr>
        <w:spacing w:line="101" w:lineRule="exact"/>
      </w:pPr>
    </w:p>
    <w:tbl>
      <w:tblPr>
        <w:tblStyle w:val="31"/>
        <w:tblW w:w="95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94"/>
        <w:gridCol w:w="1408"/>
        <w:gridCol w:w="1558"/>
        <w:gridCol w:w="410"/>
        <w:gridCol w:w="389"/>
        <w:gridCol w:w="780"/>
        <w:gridCol w:w="1129"/>
        <w:gridCol w:w="309"/>
        <w:gridCol w:w="959"/>
        <w:gridCol w:w="1423"/>
      </w:tblGrid>
      <w:tr w14:paraId="69C15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1194" w:type="dxa"/>
            <w:shd w:val="clear" w:color="auto" w:fill="D9D9D9"/>
            <w:vAlign w:val="center"/>
          </w:tcPr>
          <w:p w14:paraId="71046AC7">
            <w:pPr>
              <w:jc w:val="center"/>
              <w:rPr>
                <w:rFonts w:ascii="Arial"/>
                <w:b/>
                <w:bCs/>
                <w:szCs w:val="21"/>
              </w:rPr>
            </w:pPr>
            <w:r>
              <w:rPr>
                <w:rFonts w:hint="eastAsia" w:ascii="Arial"/>
                <w:b/>
                <w:bCs/>
                <w:szCs w:val="21"/>
              </w:rPr>
              <w:t>一</w:t>
            </w:r>
          </w:p>
        </w:tc>
        <w:tc>
          <w:tcPr>
            <w:tcW w:w="8365" w:type="dxa"/>
            <w:gridSpan w:val="9"/>
            <w:shd w:val="clear" w:color="auto" w:fill="D9D9D9"/>
            <w:vAlign w:val="center"/>
          </w:tcPr>
          <w:p w14:paraId="518155B2">
            <w:pPr>
              <w:jc w:val="center"/>
              <w:rPr>
                <w:rFonts w:ascii="宋体" w:hAnsi="宋体" w:eastAsia="宋体" w:cs="宋体"/>
                <w:b/>
                <w:bCs/>
                <w:szCs w:val="21"/>
              </w:rPr>
            </w:pPr>
            <w:bookmarkStart w:id="166" w:name="_bookmark73"/>
            <w:bookmarkEnd w:id="166"/>
            <w:r>
              <w:rPr>
                <w:b/>
                <w:bCs/>
              </w:rPr>
              <w:t>公司基本信息</w:t>
            </w:r>
          </w:p>
        </w:tc>
      </w:tr>
      <w:tr w14:paraId="067B78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1194" w:type="dxa"/>
            <w:vAlign w:val="center"/>
          </w:tcPr>
          <w:p w14:paraId="39EC25B6">
            <w:pPr>
              <w:jc w:val="center"/>
            </w:pPr>
            <w:r>
              <w:t>1</w:t>
            </w:r>
          </w:p>
        </w:tc>
        <w:tc>
          <w:tcPr>
            <w:tcW w:w="1408" w:type="dxa"/>
            <w:vAlign w:val="center"/>
          </w:tcPr>
          <w:p w14:paraId="336F8737">
            <w:pPr>
              <w:jc w:val="center"/>
            </w:pPr>
            <w:r>
              <w:t>公司名称</w:t>
            </w:r>
          </w:p>
        </w:tc>
        <w:tc>
          <w:tcPr>
            <w:tcW w:w="6957" w:type="dxa"/>
            <w:gridSpan w:val="8"/>
            <w:vAlign w:val="center"/>
          </w:tcPr>
          <w:p w14:paraId="58A3297D">
            <w:pPr>
              <w:jc w:val="center"/>
            </w:pPr>
          </w:p>
        </w:tc>
      </w:tr>
      <w:tr w14:paraId="5352BE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1194" w:type="dxa"/>
            <w:vAlign w:val="center"/>
          </w:tcPr>
          <w:p w14:paraId="49C8BE06">
            <w:pPr>
              <w:jc w:val="center"/>
            </w:pPr>
            <w:r>
              <w:t>2</w:t>
            </w:r>
          </w:p>
        </w:tc>
        <w:tc>
          <w:tcPr>
            <w:tcW w:w="1408" w:type="dxa"/>
            <w:vAlign w:val="center"/>
          </w:tcPr>
          <w:p w14:paraId="352EDBC0">
            <w:pPr>
              <w:jc w:val="center"/>
            </w:pPr>
            <w:r>
              <w:t>注册资金</w:t>
            </w:r>
          </w:p>
        </w:tc>
        <w:tc>
          <w:tcPr>
            <w:tcW w:w="1558" w:type="dxa"/>
            <w:vAlign w:val="center"/>
          </w:tcPr>
          <w:p w14:paraId="61B119FB">
            <w:pPr>
              <w:jc w:val="center"/>
            </w:pPr>
          </w:p>
        </w:tc>
        <w:tc>
          <w:tcPr>
            <w:tcW w:w="799" w:type="dxa"/>
            <w:gridSpan w:val="2"/>
            <w:vAlign w:val="center"/>
          </w:tcPr>
          <w:p w14:paraId="623EAC17">
            <w:pPr>
              <w:jc w:val="center"/>
            </w:pPr>
            <w:r>
              <w:t>3</w:t>
            </w:r>
          </w:p>
        </w:tc>
        <w:tc>
          <w:tcPr>
            <w:tcW w:w="2218" w:type="dxa"/>
            <w:gridSpan w:val="3"/>
            <w:vAlign w:val="center"/>
          </w:tcPr>
          <w:p w14:paraId="195CDC81">
            <w:pPr>
              <w:jc w:val="center"/>
            </w:pPr>
            <w:r>
              <w:t>公司地址</w:t>
            </w:r>
          </w:p>
        </w:tc>
        <w:tc>
          <w:tcPr>
            <w:tcW w:w="2382" w:type="dxa"/>
            <w:gridSpan w:val="2"/>
          </w:tcPr>
          <w:p w14:paraId="1A83F4CB">
            <w:pPr>
              <w:rPr>
                <w:rFonts w:ascii="Arial"/>
                <w:szCs w:val="21"/>
              </w:rPr>
            </w:pPr>
          </w:p>
        </w:tc>
      </w:tr>
      <w:tr w14:paraId="01E98A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1194" w:type="dxa"/>
            <w:vAlign w:val="center"/>
          </w:tcPr>
          <w:p w14:paraId="28631B87">
            <w:pPr>
              <w:jc w:val="center"/>
            </w:pPr>
            <w:r>
              <w:t>4</w:t>
            </w:r>
          </w:p>
        </w:tc>
        <w:tc>
          <w:tcPr>
            <w:tcW w:w="1408" w:type="dxa"/>
            <w:vAlign w:val="center"/>
          </w:tcPr>
          <w:p w14:paraId="7D23DA83">
            <w:pPr>
              <w:jc w:val="center"/>
            </w:pPr>
            <w:r>
              <w:t>从业人数</w:t>
            </w:r>
          </w:p>
        </w:tc>
        <w:tc>
          <w:tcPr>
            <w:tcW w:w="1558" w:type="dxa"/>
            <w:vAlign w:val="center"/>
          </w:tcPr>
          <w:p w14:paraId="6382D6F0">
            <w:pPr>
              <w:jc w:val="center"/>
            </w:pPr>
          </w:p>
        </w:tc>
        <w:tc>
          <w:tcPr>
            <w:tcW w:w="799" w:type="dxa"/>
            <w:gridSpan w:val="2"/>
            <w:vAlign w:val="center"/>
          </w:tcPr>
          <w:p w14:paraId="2D7C9F10">
            <w:pPr>
              <w:jc w:val="center"/>
            </w:pPr>
            <w:r>
              <w:t>5</w:t>
            </w:r>
          </w:p>
        </w:tc>
        <w:tc>
          <w:tcPr>
            <w:tcW w:w="2218" w:type="dxa"/>
            <w:gridSpan w:val="3"/>
            <w:vAlign w:val="center"/>
          </w:tcPr>
          <w:p w14:paraId="20EEF58B">
            <w:pPr>
              <w:jc w:val="center"/>
            </w:pPr>
            <w:r>
              <w:t>法定代表人</w:t>
            </w:r>
          </w:p>
        </w:tc>
        <w:tc>
          <w:tcPr>
            <w:tcW w:w="2382" w:type="dxa"/>
            <w:gridSpan w:val="2"/>
          </w:tcPr>
          <w:p w14:paraId="0A4E88FA">
            <w:pPr>
              <w:rPr>
                <w:rFonts w:ascii="Arial"/>
                <w:szCs w:val="21"/>
              </w:rPr>
            </w:pPr>
          </w:p>
        </w:tc>
      </w:tr>
      <w:tr w14:paraId="6F616E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1194" w:type="dxa"/>
            <w:vAlign w:val="center"/>
          </w:tcPr>
          <w:p w14:paraId="7764ED60">
            <w:pPr>
              <w:jc w:val="center"/>
            </w:pPr>
            <w:r>
              <w:t>6</w:t>
            </w:r>
          </w:p>
        </w:tc>
        <w:tc>
          <w:tcPr>
            <w:tcW w:w="1408" w:type="dxa"/>
            <w:vAlign w:val="center"/>
          </w:tcPr>
          <w:p w14:paraId="75F37076">
            <w:pPr>
              <w:jc w:val="center"/>
            </w:pPr>
            <w:r>
              <w:t>开户银行</w:t>
            </w:r>
          </w:p>
        </w:tc>
        <w:tc>
          <w:tcPr>
            <w:tcW w:w="1558" w:type="dxa"/>
            <w:vAlign w:val="center"/>
          </w:tcPr>
          <w:p w14:paraId="172E6810">
            <w:pPr>
              <w:jc w:val="center"/>
            </w:pPr>
          </w:p>
        </w:tc>
        <w:tc>
          <w:tcPr>
            <w:tcW w:w="799" w:type="dxa"/>
            <w:gridSpan w:val="2"/>
            <w:vAlign w:val="center"/>
          </w:tcPr>
          <w:p w14:paraId="6A5AF7C4">
            <w:pPr>
              <w:jc w:val="center"/>
            </w:pPr>
            <w:r>
              <w:t>7</w:t>
            </w:r>
          </w:p>
        </w:tc>
        <w:tc>
          <w:tcPr>
            <w:tcW w:w="2218" w:type="dxa"/>
            <w:gridSpan w:val="3"/>
            <w:vAlign w:val="center"/>
          </w:tcPr>
          <w:p w14:paraId="3EDFFEC2">
            <w:pPr>
              <w:jc w:val="center"/>
            </w:pPr>
            <w:r>
              <w:t>账号</w:t>
            </w:r>
          </w:p>
        </w:tc>
        <w:tc>
          <w:tcPr>
            <w:tcW w:w="2382" w:type="dxa"/>
            <w:gridSpan w:val="2"/>
          </w:tcPr>
          <w:p w14:paraId="323D292D">
            <w:pPr>
              <w:rPr>
                <w:rFonts w:ascii="Arial"/>
                <w:szCs w:val="21"/>
              </w:rPr>
            </w:pPr>
          </w:p>
        </w:tc>
      </w:tr>
      <w:tr w14:paraId="22459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1194" w:type="dxa"/>
            <w:vAlign w:val="center"/>
          </w:tcPr>
          <w:p w14:paraId="07E764D0">
            <w:pPr>
              <w:spacing w:before="78" w:line="183" w:lineRule="auto"/>
              <w:ind w:left="525"/>
              <w:rPr>
                <w:rFonts w:ascii="宋体" w:hAnsi="宋体" w:eastAsia="宋体" w:cs="宋体"/>
                <w:szCs w:val="21"/>
              </w:rPr>
            </w:pPr>
            <w:r>
              <w:rPr>
                <w:rFonts w:ascii="宋体" w:hAnsi="宋体" w:eastAsia="宋体" w:cs="宋体"/>
                <w:szCs w:val="21"/>
              </w:rPr>
              <w:t>8</w:t>
            </w:r>
          </w:p>
        </w:tc>
        <w:tc>
          <w:tcPr>
            <w:tcW w:w="1408" w:type="dxa"/>
            <w:vAlign w:val="center"/>
          </w:tcPr>
          <w:p w14:paraId="53134685">
            <w:pPr>
              <w:jc w:val="center"/>
            </w:pPr>
            <w:r>
              <w:t>项目联系人</w:t>
            </w:r>
          </w:p>
        </w:tc>
        <w:tc>
          <w:tcPr>
            <w:tcW w:w="1558" w:type="dxa"/>
            <w:vAlign w:val="center"/>
          </w:tcPr>
          <w:p w14:paraId="258536AF">
            <w:pPr>
              <w:jc w:val="center"/>
            </w:pPr>
          </w:p>
        </w:tc>
        <w:tc>
          <w:tcPr>
            <w:tcW w:w="799" w:type="dxa"/>
            <w:gridSpan w:val="2"/>
            <w:vAlign w:val="center"/>
          </w:tcPr>
          <w:p w14:paraId="028F8D4D">
            <w:pPr>
              <w:jc w:val="center"/>
            </w:pPr>
            <w:r>
              <w:t>9</w:t>
            </w:r>
          </w:p>
        </w:tc>
        <w:tc>
          <w:tcPr>
            <w:tcW w:w="2218" w:type="dxa"/>
            <w:gridSpan w:val="3"/>
            <w:vAlign w:val="center"/>
          </w:tcPr>
          <w:p w14:paraId="582C7F83">
            <w:pPr>
              <w:jc w:val="center"/>
            </w:pPr>
            <w:r>
              <w:t>联系电话</w:t>
            </w:r>
          </w:p>
        </w:tc>
        <w:tc>
          <w:tcPr>
            <w:tcW w:w="2382" w:type="dxa"/>
            <w:gridSpan w:val="2"/>
          </w:tcPr>
          <w:p w14:paraId="3E24BBCE">
            <w:pPr>
              <w:rPr>
                <w:rFonts w:ascii="Arial"/>
                <w:szCs w:val="21"/>
              </w:rPr>
            </w:pPr>
          </w:p>
        </w:tc>
      </w:tr>
      <w:tr w14:paraId="0785DF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1194" w:type="dxa"/>
            <w:shd w:val="clear" w:color="auto" w:fill="D9D9D9"/>
          </w:tcPr>
          <w:p w14:paraId="62E2C4AD">
            <w:pPr>
              <w:spacing w:before="181" w:line="178" w:lineRule="auto"/>
              <w:ind w:left="464"/>
              <w:rPr>
                <w:rFonts w:ascii="宋体" w:hAnsi="宋体" w:eastAsia="宋体" w:cs="宋体"/>
                <w:b/>
                <w:bCs/>
                <w:szCs w:val="21"/>
              </w:rPr>
            </w:pPr>
            <w:r>
              <w:rPr>
                <w:rFonts w:ascii="宋体" w:hAnsi="宋体" w:eastAsia="宋体" w:cs="宋体"/>
                <w:b/>
                <w:bCs/>
                <w:szCs w:val="21"/>
              </w:rPr>
              <w:t>二</w:t>
            </w:r>
          </w:p>
        </w:tc>
        <w:tc>
          <w:tcPr>
            <w:tcW w:w="8365" w:type="dxa"/>
            <w:gridSpan w:val="9"/>
            <w:shd w:val="clear" w:color="auto" w:fill="D9D9D9"/>
          </w:tcPr>
          <w:p w14:paraId="30A00FAB">
            <w:pPr>
              <w:spacing w:before="109" w:line="219" w:lineRule="auto"/>
              <w:ind w:left="3454"/>
              <w:rPr>
                <w:rFonts w:ascii="宋体" w:hAnsi="宋体" w:eastAsia="宋体" w:cs="宋体"/>
                <w:b/>
                <w:bCs/>
                <w:szCs w:val="21"/>
              </w:rPr>
            </w:pPr>
            <w:r>
              <w:rPr>
                <w:b/>
                <w:bCs/>
              </w:rPr>
              <w:t>公司财务状况</w:t>
            </w:r>
          </w:p>
        </w:tc>
      </w:tr>
      <w:tr w14:paraId="1EB857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1194" w:type="dxa"/>
            <w:vAlign w:val="center"/>
          </w:tcPr>
          <w:p w14:paraId="35D82273">
            <w:pPr>
              <w:jc w:val="center"/>
            </w:pPr>
            <w:r>
              <w:rPr>
                <w:rFonts w:hint="eastAsia"/>
              </w:rPr>
              <w:t>（一）</w:t>
            </w:r>
          </w:p>
        </w:tc>
        <w:tc>
          <w:tcPr>
            <w:tcW w:w="8365" w:type="dxa"/>
            <w:gridSpan w:val="9"/>
            <w:vAlign w:val="center"/>
          </w:tcPr>
          <w:p w14:paraId="3FAE59D0">
            <w:pPr>
              <w:jc w:val="center"/>
            </w:pPr>
            <w:r>
              <w:t>202</w:t>
            </w:r>
            <w:r>
              <w:rPr>
                <w:rFonts w:hint="eastAsia"/>
              </w:rPr>
              <w:t>4</w:t>
            </w:r>
            <w:r>
              <w:t>年度财务状况</w:t>
            </w:r>
          </w:p>
        </w:tc>
      </w:tr>
      <w:tr w14:paraId="25B20C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1194" w:type="dxa"/>
            <w:vAlign w:val="center"/>
          </w:tcPr>
          <w:p w14:paraId="210977BF">
            <w:pPr>
              <w:jc w:val="center"/>
            </w:pPr>
            <w:r>
              <w:t>1</w:t>
            </w:r>
          </w:p>
        </w:tc>
        <w:tc>
          <w:tcPr>
            <w:tcW w:w="1408" w:type="dxa"/>
            <w:vAlign w:val="center"/>
          </w:tcPr>
          <w:p w14:paraId="0343AEAF">
            <w:pPr>
              <w:jc w:val="center"/>
            </w:pPr>
            <w:r>
              <w:t>营业收入(万):</w:t>
            </w:r>
          </w:p>
        </w:tc>
        <w:tc>
          <w:tcPr>
            <w:tcW w:w="1558" w:type="dxa"/>
            <w:vAlign w:val="center"/>
          </w:tcPr>
          <w:p w14:paraId="56913050">
            <w:pPr>
              <w:jc w:val="center"/>
            </w:pPr>
          </w:p>
        </w:tc>
        <w:tc>
          <w:tcPr>
            <w:tcW w:w="799" w:type="dxa"/>
            <w:gridSpan w:val="2"/>
            <w:vAlign w:val="center"/>
          </w:tcPr>
          <w:p w14:paraId="1AF74482">
            <w:pPr>
              <w:jc w:val="center"/>
            </w:pPr>
            <w:r>
              <w:t>2</w:t>
            </w:r>
          </w:p>
        </w:tc>
        <w:tc>
          <w:tcPr>
            <w:tcW w:w="2218" w:type="dxa"/>
            <w:gridSpan w:val="3"/>
            <w:vAlign w:val="center"/>
          </w:tcPr>
          <w:p w14:paraId="1B0BF8BC">
            <w:pPr>
              <w:jc w:val="center"/>
            </w:pPr>
            <w:r>
              <w:t>利润总额(万)</w:t>
            </w:r>
          </w:p>
        </w:tc>
        <w:tc>
          <w:tcPr>
            <w:tcW w:w="2382" w:type="dxa"/>
            <w:gridSpan w:val="2"/>
          </w:tcPr>
          <w:p w14:paraId="3551FF0B">
            <w:pPr>
              <w:rPr>
                <w:rFonts w:ascii="Arial"/>
                <w:szCs w:val="21"/>
              </w:rPr>
            </w:pPr>
          </w:p>
        </w:tc>
      </w:tr>
      <w:tr w14:paraId="088C5A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1194" w:type="dxa"/>
            <w:vAlign w:val="center"/>
          </w:tcPr>
          <w:p w14:paraId="3A8564BB">
            <w:pPr>
              <w:jc w:val="center"/>
            </w:pPr>
            <w:r>
              <w:t>3</w:t>
            </w:r>
          </w:p>
        </w:tc>
        <w:tc>
          <w:tcPr>
            <w:tcW w:w="1408" w:type="dxa"/>
            <w:vAlign w:val="center"/>
          </w:tcPr>
          <w:p w14:paraId="2A762623">
            <w:pPr>
              <w:jc w:val="center"/>
            </w:pPr>
            <w:r>
              <w:t>年末“固定资产合计"(万)</w:t>
            </w:r>
          </w:p>
        </w:tc>
        <w:tc>
          <w:tcPr>
            <w:tcW w:w="1558" w:type="dxa"/>
            <w:vAlign w:val="center"/>
          </w:tcPr>
          <w:p w14:paraId="11A1DC24">
            <w:pPr>
              <w:jc w:val="center"/>
            </w:pPr>
          </w:p>
        </w:tc>
        <w:tc>
          <w:tcPr>
            <w:tcW w:w="799" w:type="dxa"/>
            <w:gridSpan w:val="2"/>
            <w:vAlign w:val="center"/>
          </w:tcPr>
          <w:p w14:paraId="0987193D">
            <w:pPr>
              <w:jc w:val="center"/>
            </w:pPr>
            <w:r>
              <w:t>4</w:t>
            </w:r>
          </w:p>
        </w:tc>
        <w:tc>
          <w:tcPr>
            <w:tcW w:w="2218" w:type="dxa"/>
            <w:gridSpan w:val="3"/>
            <w:vAlign w:val="center"/>
          </w:tcPr>
          <w:p w14:paraId="1EDFE991">
            <w:pPr>
              <w:jc w:val="center"/>
            </w:pPr>
          </w:p>
          <w:p w14:paraId="0F102031">
            <w:pPr>
              <w:jc w:val="center"/>
            </w:pPr>
            <w:r>
              <w:t>年末“流动资产”余额(万)</w:t>
            </w:r>
          </w:p>
        </w:tc>
        <w:tc>
          <w:tcPr>
            <w:tcW w:w="2382" w:type="dxa"/>
            <w:gridSpan w:val="2"/>
          </w:tcPr>
          <w:p w14:paraId="78AFBA55">
            <w:pPr>
              <w:rPr>
                <w:rFonts w:ascii="Arial"/>
                <w:szCs w:val="21"/>
              </w:rPr>
            </w:pPr>
          </w:p>
        </w:tc>
      </w:tr>
      <w:tr w14:paraId="7C8756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1194" w:type="dxa"/>
            <w:vAlign w:val="center"/>
          </w:tcPr>
          <w:p w14:paraId="0B7796B9">
            <w:pPr>
              <w:jc w:val="center"/>
            </w:pPr>
            <w:r>
              <w:t>5</w:t>
            </w:r>
          </w:p>
        </w:tc>
        <w:tc>
          <w:tcPr>
            <w:tcW w:w="1408" w:type="dxa"/>
            <w:vAlign w:val="center"/>
          </w:tcPr>
          <w:p w14:paraId="05DDE49E">
            <w:pPr>
              <w:jc w:val="center"/>
            </w:pPr>
            <w:r>
              <w:t>年末“短期负债”余额(万)</w:t>
            </w:r>
          </w:p>
        </w:tc>
        <w:tc>
          <w:tcPr>
            <w:tcW w:w="1558" w:type="dxa"/>
            <w:vAlign w:val="center"/>
          </w:tcPr>
          <w:p w14:paraId="2C9837B9">
            <w:pPr>
              <w:jc w:val="center"/>
            </w:pPr>
          </w:p>
        </w:tc>
        <w:tc>
          <w:tcPr>
            <w:tcW w:w="799" w:type="dxa"/>
            <w:gridSpan w:val="2"/>
            <w:vAlign w:val="center"/>
          </w:tcPr>
          <w:p w14:paraId="669E8221">
            <w:pPr>
              <w:jc w:val="center"/>
            </w:pPr>
            <w:r>
              <w:rPr>
                <w:rFonts w:hint="eastAsia"/>
              </w:rPr>
              <w:t>6</w:t>
            </w:r>
          </w:p>
        </w:tc>
        <w:tc>
          <w:tcPr>
            <w:tcW w:w="2218" w:type="dxa"/>
            <w:gridSpan w:val="3"/>
            <w:vAlign w:val="center"/>
          </w:tcPr>
          <w:p w14:paraId="69F32897">
            <w:pPr>
              <w:jc w:val="center"/>
            </w:pPr>
          </w:p>
          <w:p w14:paraId="30692BAE">
            <w:pPr>
              <w:jc w:val="center"/>
            </w:pPr>
            <w:r>
              <w:t>年末“长期负债”余额(万)</w:t>
            </w:r>
          </w:p>
        </w:tc>
        <w:tc>
          <w:tcPr>
            <w:tcW w:w="2382" w:type="dxa"/>
            <w:gridSpan w:val="2"/>
          </w:tcPr>
          <w:p w14:paraId="4DBD9198">
            <w:pPr>
              <w:rPr>
                <w:rFonts w:ascii="Arial"/>
                <w:szCs w:val="21"/>
              </w:rPr>
            </w:pPr>
          </w:p>
        </w:tc>
      </w:tr>
      <w:tr w14:paraId="49C764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1194" w:type="dxa"/>
            <w:vAlign w:val="center"/>
          </w:tcPr>
          <w:p w14:paraId="6F1AB7FD">
            <w:pPr>
              <w:jc w:val="center"/>
            </w:pPr>
            <w:r>
              <w:t>7</w:t>
            </w:r>
          </w:p>
        </w:tc>
        <w:tc>
          <w:tcPr>
            <w:tcW w:w="1408" w:type="dxa"/>
            <w:vAlign w:val="center"/>
          </w:tcPr>
          <w:p w14:paraId="6F114EEE">
            <w:pPr>
              <w:jc w:val="center"/>
            </w:pPr>
            <w:r>
              <w:t>年末“资产总计"余额(万)</w:t>
            </w:r>
          </w:p>
        </w:tc>
        <w:tc>
          <w:tcPr>
            <w:tcW w:w="1558" w:type="dxa"/>
            <w:vAlign w:val="center"/>
          </w:tcPr>
          <w:p w14:paraId="060E0191">
            <w:pPr>
              <w:jc w:val="center"/>
            </w:pPr>
          </w:p>
        </w:tc>
        <w:tc>
          <w:tcPr>
            <w:tcW w:w="799" w:type="dxa"/>
            <w:gridSpan w:val="2"/>
            <w:vAlign w:val="center"/>
          </w:tcPr>
          <w:p w14:paraId="625EC9F3">
            <w:pPr>
              <w:jc w:val="center"/>
            </w:pPr>
            <w:r>
              <w:t>8</w:t>
            </w:r>
          </w:p>
        </w:tc>
        <w:tc>
          <w:tcPr>
            <w:tcW w:w="2218" w:type="dxa"/>
            <w:gridSpan w:val="3"/>
            <w:vAlign w:val="center"/>
          </w:tcPr>
          <w:p w14:paraId="69766AE8">
            <w:pPr>
              <w:jc w:val="center"/>
            </w:pPr>
          </w:p>
          <w:p w14:paraId="7EF03B3E">
            <w:pPr>
              <w:jc w:val="center"/>
            </w:pPr>
            <w:r>
              <w:t>年末“货币资金”余额(万)</w:t>
            </w:r>
          </w:p>
        </w:tc>
        <w:tc>
          <w:tcPr>
            <w:tcW w:w="2382" w:type="dxa"/>
            <w:gridSpan w:val="2"/>
          </w:tcPr>
          <w:p w14:paraId="611DA81E">
            <w:pPr>
              <w:rPr>
                <w:rFonts w:ascii="Arial"/>
                <w:szCs w:val="21"/>
              </w:rPr>
            </w:pPr>
          </w:p>
        </w:tc>
      </w:tr>
      <w:tr w14:paraId="4DED11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1194" w:type="dxa"/>
            <w:shd w:val="clear" w:color="auto" w:fill="D9D9D9"/>
          </w:tcPr>
          <w:p w14:paraId="016C7D9C">
            <w:pPr>
              <w:spacing w:before="179" w:line="237" w:lineRule="auto"/>
              <w:ind w:left="464"/>
              <w:rPr>
                <w:rFonts w:ascii="宋体" w:hAnsi="宋体" w:eastAsia="宋体" w:cs="宋体"/>
                <w:szCs w:val="21"/>
              </w:rPr>
            </w:pPr>
            <w:r>
              <w:rPr>
                <w:rFonts w:ascii="宋体" w:hAnsi="宋体" w:eastAsia="宋体" w:cs="宋体"/>
                <w:b/>
                <w:bCs/>
                <w:szCs w:val="21"/>
              </w:rPr>
              <w:t>三</w:t>
            </w:r>
          </w:p>
        </w:tc>
        <w:tc>
          <w:tcPr>
            <w:tcW w:w="8365" w:type="dxa"/>
            <w:gridSpan w:val="9"/>
            <w:shd w:val="clear" w:color="auto" w:fill="D9D9D9"/>
          </w:tcPr>
          <w:p w14:paraId="3A1B8C95">
            <w:pPr>
              <w:spacing w:before="152" w:line="219" w:lineRule="auto"/>
              <w:ind w:left="3334"/>
              <w:rPr>
                <w:rFonts w:ascii="宋体" w:hAnsi="宋体" w:eastAsia="宋体" w:cs="宋体"/>
                <w:szCs w:val="21"/>
              </w:rPr>
            </w:pPr>
            <w:r>
              <w:rPr>
                <w:rFonts w:ascii="宋体" w:hAnsi="宋体" w:eastAsia="宋体" w:cs="宋体"/>
                <w:b/>
                <w:bCs/>
                <w:spacing w:val="-1"/>
                <w:szCs w:val="21"/>
              </w:rPr>
              <w:t>供应商其他信息</w:t>
            </w:r>
          </w:p>
        </w:tc>
      </w:tr>
      <w:tr w14:paraId="49707E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1194" w:type="dxa"/>
            <w:vAlign w:val="center"/>
          </w:tcPr>
          <w:p w14:paraId="1AD21EA7">
            <w:pPr>
              <w:jc w:val="center"/>
            </w:pPr>
            <w:r>
              <w:rPr>
                <w:rFonts w:hint="eastAsia"/>
              </w:rPr>
              <w:t>（一）</w:t>
            </w:r>
          </w:p>
        </w:tc>
        <w:tc>
          <w:tcPr>
            <w:tcW w:w="1408" w:type="dxa"/>
            <w:vAlign w:val="center"/>
          </w:tcPr>
          <w:p w14:paraId="09EEB354">
            <w:pPr>
              <w:jc w:val="center"/>
            </w:pPr>
            <w:r>
              <w:t>公司取得的相关资质及等级：</w:t>
            </w:r>
          </w:p>
        </w:tc>
        <w:tc>
          <w:tcPr>
            <w:tcW w:w="6957" w:type="dxa"/>
            <w:gridSpan w:val="8"/>
          </w:tcPr>
          <w:p w14:paraId="25625C02">
            <w:pPr>
              <w:rPr>
                <w:rFonts w:ascii="Arial"/>
                <w:szCs w:val="21"/>
              </w:rPr>
            </w:pPr>
          </w:p>
        </w:tc>
      </w:tr>
      <w:tr w14:paraId="7A9519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1194" w:type="dxa"/>
            <w:vAlign w:val="center"/>
          </w:tcPr>
          <w:p w14:paraId="7BC2783A">
            <w:pPr>
              <w:jc w:val="center"/>
            </w:pPr>
          </w:p>
          <w:p w14:paraId="6E8B4E5D">
            <w:pPr>
              <w:jc w:val="center"/>
            </w:pPr>
            <w:r>
              <w:rPr>
                <w:rFonts w:hint="eastAsia"/>
              </w:rPr>
              <w:t>（二）</w:t>
            </w:r>
          </w:p>
        </w:tc>
        <w:tc>
          <w:tcPr>
            <w:tcW w:w="1408" w:type="dxa"/>
            <w:vAlign w:val="center"/>
          </w:tcPr>
          <w:p w14:paraId="714A4B61">
            <w:pPr>
              <w:jc w:val="center"/>
            </w:pPr>
            <w:r>
              <w:t>公司××××年度</w:t>
            </w:r>
          </w:p>
          <w:p w14:paraId="4A3AC358">
            <w:pPr>
              <w:jc w:val="center"/>
            </w:pPr>
            <w:r>
              <w:t>后获得的荣誉及表彰情况</w:t>
            </w:r>
          </w:p>
        </w:tc>
        <w:tc>
          <w:tcPr>
            <w:tcW w:w="6957" w:type="dxa"/>
            <w:gridSpan w:val="8"/>
          </w:tcPr>
          <w:p w14:paraId="4B64F197">
            <w:pPr>
              <w:rPr>
                <w:rFonts w:ascii="Arial"/>
                <w:szCs w:val="21"/>
              </w:rPr>
            </w:pPr>
          </w:p>
        </w:tc>
      </w:tr>
      <w:tr w14:paraId="7A4273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1194" w:type="dxa"/>
            <w:shd w:val="clear" w:color="auto" w:fill="D9D9D9"/>
          </w:tcPr>
          <w:p w14:paraId="450F89E9">
            <w:pPr>
              <w:spacing w:before="179" w:line="237" w:lineRule="auto"/>
              <w:ind w:left="464"/>
              <w:rPr>
                <w:rFonts w:ascii="宋体" w:hAnsi="宋体" w:eastAsia="宋体" w:cs="宋体"/>
                <w:szCs w:val="21"/>
              </w:rPr>
            </w:pPr>
            <w:r>
              <w:rPr>
                <w:rFonts w:hint="eastAsia" w:ascii="宋体" w:hAnsi="宋体" w:eastAsia="宋体" w:cs="宋体"/>
                <w:b/>
                <w:bCs/>
                <w:szCs w:val="21"/>
              </w:rPr>
              <w:t>四</w:t>
            </w:r>
          </w:p>
        </w:tc>
        <w:tc>
          <w:tcPr>
            <w:tcW w:w="8365" w:type="dxa"/>
            <w:gridSpan w:val="9"/>
            <w:shd w:val="clear" w:color="auto" w:fill="D9D9D9"/>
          </w:tcPr>
          <w:p w14:paraId="002A8524">
            <w:pPr>
              <w:spacing w:before="152" w:line="219" w:lineRule="auto"/>
              <w:jc w:val="center"/>
              <w:rPr>
                <w:rFonts w:ascii="宋体" w:hAnsi="宋体" w:eastAsia="宋体" w:cs="宋体"/>
                <w:szCs w:val="21"/>
              </w:rPr>
            </w:pPr>
            <w:r>
              <w:rPr>
                <w:rFonts w:hint="eastAsia" w:ascii="宋体" w:hAnsi="宋体" w:eastAsia="宋体" w:cs="宋体"/>
                <w:b/>
                <w:bCs/>
                <w:szCs w:val="21"/>
              </w:rPr>
              <w:t>提供本项目服务所必须的专业设备一览表</w:t>
            </w:r>
          </w:p>
        </w:tc>
      </w:tr>
      <w:tr w14:paraId="41D626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1194" w:type="dxa"/>
            <w:vAlign w:val="center"/>
          </w:tcPr>
          <w:p w14:paraId="624B0D93">
            <w:pPr>
              <w:jc w:val="center"/>
            </w:pPr>
            <w:r>
              <w:t>序号</w:t>
            </w:r>
          </w:p>
        </w:tc>
        <w:tc>
          <w:tcPr>
            <w:tcW w:w="3376" w:type="dxa"/>
            <w:gridSpan w:val="3"/>
            <w:vAlign w:val="center"/>
          </w:tcPr>
          <w:p w14:paraId="7454ADB8">
            <w:pPr>
              <w:jc w:val="center"/>
            </w:pPr>
            <w:r>
              <w:t>品牌、型号及主要参数配置简述</w:t>
            </w:r>
          </w:p>
        </w:tc>
        <w:tc>
          <w:tcPr>
            <w:tcW w:w="1169" w:type="dxa"/>
            <w:gridSpan w:val="2"/>
            <w:vAlign w:val="center"/>
          </w:tcPr>
          <w:p w14:paraId="6F996C91">
            <w:pPr>
              <w:jc w:val="center"/>
            </w:pPr>
            <w:r>
              <w:t>购置年份</w:t>
            </w:r>
          </w:p>
        </w:tc>
        <w:tc>
          <w:tcPr>
            <w:tcW w:w="1129" w:type="dxa"/>
            <w:vAlign w:val="center"/>
          </w:tcPr>
          <w:p w14:paraId="6BE6F946">
            <w:pPr>
              <w:jc w:val="center"/>
            </w:pPr>
            <w:r>
              <w:t>价格</w:t>
            </w:r>
          </w:p>
        </w:tc>
        <w:tc>
          <w:tcPr>
            <w:tcW w:w="1268" w:type="dxa"/>
            <w:gridSpan w:val="2"/>
            <w:vAlign w:val="center"/>
          </w:tcPr>
          <w:p w14:paraId="16F5E359">
            <w:pPr>
              <w:jc w:val="center"/>
            </w:pPr>
            <w:r>
              <w:t>数量</w:t>
            </w:r>
          </w:p>
        </w:tc>
        <w:tc>
          <w:tcPr>
            <w:tcW w:w="1423" w:type="dxa"/>
            <w:vAlign w:val="center"/>
          </w:tcPr>
          <w:p w14:paraId="721F9CFA">
            <w:pPr>
              <w:jc w:val="center"/>
            </w:pPr>
            <w:r>
              <w:t>用途</w:t>
            </w:r>
          </w:p>
        </w:tc>
      </w:tr>
      <w:tr w14:paraId="601B72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1194" w:type="dxa"/>
            <w:vAlign w:val="center"/>
          </w:tcPr>
          <w:p w14:paraId="4F860971">
            <w:pPr>
              <w:jc w:val="center"/>
            </w:pPr>
            <w:r>
              <w:rPr>
                <w:rFonts w:hint="eastAsia"/>
              </w:rPr>
              <w:t>1</w:t>
            </w:r>
          </w:p>
        </w:tc>
        <w:tc>
          <w:tcPr>
            <w:tcW w:w="3376" w:type="dxa"/>
            <w:gridSpan w:val="3"/>
            <w:vAlign w:val="center"/>
          </w:tcPr>
          <w:p w14:paraId="6425039F">
            <w:pPr>
              <w:jc w:val="center"/>
            </w:pPr>
          </w:p>
        </w:tc>
        <w:tc>
          <w:tcPr>
            <w:tcW w:w="1169" w:type="dxa"/>
            <w:gridSpan w:val="2"/>
            <w:vAlign w:val="center"/>
          </w:tcPr>
          <w:p w14:paraId="7B08E737">
            <w:pPr>
              <w:jc w:val="center"/>
            </w:pPr>
          </w:p>
        </w:tc>
        <w:tc>
          <w:tcPr>
            <w:tcW w:w="1129" w:type="dxa"/>
            <w:vAlign w:val="center"/>
          </w:tcPr>
          <w:p w14:paraId="1F9B1DDF">
            <w:pPr>
              <w:jc w:val="center"/>
            </w:pPr>
          </w:p>
        </w:tc>
        <w:tc>
          <w:tcPr>
            <w:tcW w:w="1268" w:type="dxa"/>
            <w:gridSpan w:val="2"/>
            <w:vAlign w:val="center"/>
          </w:tcPr>
          <w:p w14:paraId="1CD5B547">
            <w:pPr>
              <w:jc w:val="center"/>
            </w:pPr>
          </w:p>
        </w:tc>
        <w:tc>
          <w:tcPr>
            <w:tcW w:w="1423" w:type="dxa"/>
            <w:vAlign w:val="center"/>
          </w:tcPr>
          <w:p w14:paraId="4D982049">
            <w:pPr>
              <w:jc w:val="center"/>
            </w:pPr>
          </w:p>
        </w:tc>
      </w:tr>
      <w:tr w14:paraId="08FD4C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1194" w:type="dxa"/>
            <w:vAlign w:val="center"/>
          </w:tcPr>
          <w:p w14:paraId="1813CE5A">
            <w:pPr>
              <w:jc w:val="center"/>
            </w:pPr>
            <w:r>
              <w:rPr>
                <w:rFonts w:hint="eastAsia"/>
              </w:rPr>
              <w:t>2</w:t>
            </w:r>
          </w:p>
        </w:tc>
        <w:tc>
          <w:tcPr>
            <w:tcW w:w="3376" w:type="dxa"/>
            <w:gridSpan w:val="3"/>
            <w:vAlign w:val="center"/>
          </w:tcPr>
          <w:p w14:paraId="4AE022A5">
            <w:pPr>
              <w:jc w:val="center"/>
            </w:pPr>
          </w:p>
        </w:tc>
        <w:tc>
          <w:tcPr>
            <w:tcW w:w="1169" w:type="dxa"/>
            <w:gridSpan w:val="2"/>
            <w:vAlign w:val="center"/>
          </w:tcPr>
          <w:p w14:paraId="139DE684">
            <w:pPr>
              <w:jc w:val="center"/>
            </w:pPr>
          </w:p>
        </w:tc>
        <w:tc>
          <w:tcPr>
            <w:tcW w:w="1129" w:type="dxa"/>
            <w:vAlign w:val="center"/>
          </w:tcPr>
          <w:p w14:paraId="2BA10FE0">
            <w:pPr>
              <w:jc w:val="center"/>
            </w:pPr>
          </w:p>
        </w:tc>
        <w:tc>
          <w:tcPr>
            <w:tcW w:w="1268" w:type="dxa"/>
            <w:gridSpan w:val="2"/>
            <w:vAlign w:val="center"/>
          </w:tcPr>
          <w:p w14:paraId="5CEAC782">
            <w:pPr>
              <w:jc w:val="center"/>
            </w:pPr>
          </w:p>
        </w:tc>
        <w:tc>
          <w:tcPr>
            <w:tcW w:w="1423" w:type="dxa"/>
            <w:vAlign w:val="center"/>
          </w:tcPr>
          <w:p w14:paraId="35F4BCD7">
            <w:pPr>
              <w:jc w:val="center"/>
            </w:pPr>
          </w:p>
        </w:tc>
      </w:tr>
      <w:tr w14:paraId="043379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1194" w:type="dxa"/>
            <w:vAlign w:val="center"/>
          </w:tcPr>
          <w:p w14:paraId="78609D3C">
            <w:pPr>
              <w:jc w:val="center"/>
            </w:pPr>
            <w:r>
              <w:rPr>
                <w:rFonts w:hint="eastAsia"/>
              </w:rPr>
              <w:t>3</w:t>
            </w:r>
          </w:p>
        </w:tc>
        <w:tc>
          <w:tcPr>
            <w:tcW w:w="3376" w:type="dxa"/>
            <w:gridSpan w:val="3"/>
            <w:vAlign w:val="center"/>
          </w:tcPr>
          <w:p w14:paraId="2D7CF1CC">
            <w:pPr>
              <w:jc w:val="center"/>
            </w:pPr>
          </w:p>
        </w:tc>
        <w:tc>
          <w:tcPr>
            <w:tcW w:w="1169" w:type="dxa"/>
            <w:gridSpan w:val="2"/>
            <w:vAlign w:val="center"/>
          </w:tcPr>
          <w:p w14:paraId="2D54E146">
            <w:pPr>
              <w:jc w:val="center"/>
            </w:pPr>
          </w:p>
        </w:tc>
        <w:tc>
          <w:tcPr>
            <w:tcW w:w="1129" w:type="dxa"/>
            <w:vAlign w:val="center"/>
          </w:tcPr>
          <w:p w14:paraId="2C52FCD1">
            <w:pPr>
              <w:jc w:val="center"/>
            </w:pPr>
          </w:p>
        </w:tc>
        <w:tc>
          <w:tcPr>
            <w:tcW w:w="1268" w:type="dxa"/>
            <w:gridSpan w:val="2"/>
            <w:vAlign w:val="center"/>
          </w:tcPr>
          <w:p w14:paraId="06B9B539">
            <w:pPr>
              <w:jc w:val="center"/>
            </w:pPr>
          </w:p>
        </w:tc>
        <w:tc>
          <w:tcPr>
            <w:tcW w:w="1423" w:type="dxa"/>
            <w:vAlign w:val="center"/>
          </w:tcPr>
          <w:p w14:paraId="1D69F046">
            <w:pPr>
              <w:jc w:val="center"/>
            </w:pPr>
          </w:p>
        </w:tc>
      </w:tr>
      <w:tr w14:paraId="552447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1194" w:type="dxa"/>
            <w:vAlign w:val="center"/>
          </w:tcPr>
          <w:p w14:paraId="45C84B89">
            <w:pPr>
              <w:jc w:val="center"/>
            </w:pPr>
            <w:r>
              <w:rPr>
                <w:rFonts w:hint="eastAsia"/>
              </w:rPr>
              <w:t>...</w:t>
            </w:r>
          </w:p>
        </w:tc>
        <w:tc>
          <w:tcPr>
            <w:tcW w:w="3376" w:type="dxa"/>
            <w:gridSpan w:val="3"/>
            <w:vAlign w:val="center"/>
          </w:tcPr>
          <w:p w14:paraId="3006972B">
            <w:pPr>
              <w:jc w:val="center"/>
            </w:pPr>
          </w:p>
        </w:tc>
        <w:tc>
          <w:tcPr>
            <w:tcW w:w="1169" w:type="dxa"/>
            <w:gridSpan w:val="2"/>
            <w:vAlign w:val="center"/>
          </w:tcPr>
          <w:p w14:paraId="07E222A4">
            <w:pPr>
              <w:jc w:val="center"/>
            </w:pPr>
          </w:p>
        </w:tc>
        <w:tc>
          <w:tcPr>
            <w:tcW w:w="1129" w:type="dxa"/>
            <w:vAlign w:val="center"/>
          </w:tcPr>
          <w:p w14:paraId="0957B523">
            <w:pPr>
              <w:jc w:val="center"/>
            </w:pPr>
          </w:p>
        </w:tc>
        <w:tc>
          <w:tcPr>
            <w:tcW w:w="1268" w:type="dxa"/>
            <w:gridSpan w:val="2"/>
            <w:vAlign w:val="center"/>
          </w:tcPr>
          <w:p w14:paraId="04CCC51A">
            <w:pPr>
              <w:jc w:val="center"/>
            </w:pPr>
          </w:p>
        </w:tc>
        <w:tc>
          <w:tcPr>
            <w:tcW w:w="1423" w:type="dxa"/>
            <w:vAlign w:val="center"/>
          </w:tcPr>
          <w:p w14:paraId="3EB23190">
            <w:pPr>
              <w:jc w:val="center"/>
            </w:pPr>
          </w:p>
        </w:tc>
      </w:tr>
      <w:tr w14:paraId="763C4C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1194" w:type="dxa"/>
            <w:shd w:val="clear" w:color="auto" w:fill="D9D9D9"/>
          </w:tcPr>
          <w:p w14:paraId="6BCCE404">
            <w:pPr>
              <w:spacing w:before="152" w:line="219" w:lineRule="auto"/>
              <w:jc w:val="center"/>
              <w:rPr>
                <w:rFonts w:ascii="宋体" w:hAnsi="宋体" w:eastAsia="宋体" w:cs="宋体"/>
                <w:b/>
                <w:bCs/>
                <w:szCs w:val="21"/>
              </w:rPr>
            </w:pPr>
            <w:r>
              <w:rPr>
                <w:rFonts w:hint="eastAsia" w:ascii="宋体" w:hAnsi="宋体" w:eastAsia="宋体" w:cs="宋体"/>
                <w:b/>
                <w:bCs/>
                <w:szCs w:val="21"/>
              </w:rPr>
              <w:t>五</w:t>
            </w:r>
          </w:p>
        </w:tc>
        <w:tc>
          <w:tcPr>
            <w:tcW w:w="8365" w:type="dxa"/>
            <w:gridSpan w:val="9"/>
            <w:shd w:val="clear" w:color="auto" w:fill="D9D9D9"/>
          </w:tcPr>
          <w:p w14:paraId="2E5461E5">
            <w:pPr>
              <w:spacing w:before="152" w:line="219" w:lineRule="auto"/>
              <w:jc w:val="center"/>
              <w:rPr>
                <w:rFonts w:ascii="宋体" w:hAnsi="宋体" w:eastAsia="宋体" w:cs="宋体"/>
                <w:b/>
                <w:bCs/>
                <w:szCs w:val="21"/>
              </w:rPr>
            </w:pPr>
            <w:r>
              <w:rPr>
                <w:rFonts w:hint="eastAsia" w:ascii="宋体" w:hAnsi="宋体" w:eastAsia="宋体" w:cs="宋体"/>
                <w:b/>
                <w:bCs/>
                <w:szCs w:val="21"/>
              </w:rPr>
              <w:t>提供本项目服务所必须的专业技术能力</w:t>
            </w:r>
          </w:p>
        </w:tc>
      </w:tr>
      <w:tr w14:paraId="4BB64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1" w:hRule="atLeast"/>
        </w:trPr>
        <w:tc>
          <w:tcPr>
            <w:tcW w:w="9559" w:type="dxa"/>
            <w:gridSpan w:val="10"/>
            <w:vAlign w:val="center"/>
          </w:tcPr>
          <w:p w14:paraId="02427CB1">
            <w:pPr>
              <w:rPr>
                <w:rFonts w:ascii="Arial"/>
                <w:szCs w:val="21"/>
              </w:rPr>
            </w:pPr>
          </w:p>
        </w:tc>
      </w:tr>
    </w:tbl>
    <w:p w14:paraId="2A5AB813">
      <w:pPr>
        <w:pStyle w:val="7"/>
      </w:pPr>
      <w:r>
        <w:t>注：1、如行数不够请自行添加。</w:t>
      </w:r>
    </w:p>
    <w:p w14:paraId="75546ABE">
      <w:pPr>
        <w:jc w:val="center"/>
        <w:outlineLvl w:val="2"/>
        <w:rPr>
          <w:rFonts w:ascii="Times New Roman" w:hAnsi="Times New Roman" w:eastAsia="宋体" w:cs="Times New Roman"/>
          <w:sz w:val="28"/>
          <w:szCs w:val="28"/>
        </w:rPr>
      </w:pPr>
      <w:bookmarkStart w:id="167" w:name="_Toc211511493"/>
      <w:r>
        <w:rPr>
          <w:rFonts w:hint="eastAsia" w:ascii="Times New Roman" w:hAnsi="Times New Roman" w:eastAsia="宋体" w:cs="Times New Roman"/>
          <w:sz w:val="28"/>
          <w:szCs w:val="28"/>
        </w:rPr>
        <w:t>（五）</w:t>
      </w:r>
      <w:r>
        <w:rPr>
          <w:rFonts w:ascii="Times New Roman" w:hAnsi="Times New Roman" w:eastAsia="宋体" w:cs="Times New Roman"/>
          <w:sz w:val="28"/>
          <w:szCs w:val="28"/>
        </w:rPr>
        <w:t>依法缴纳税收和社会保障资金的良好记录</w:t>
      </w:r>
      <w:bookmarkEnd w:id="167"/>
    </w:p>
    <w:p w14:paraId="57E9966A">
      <w:pPr>
        <w:jc w:val="center"/>
        <w:outlineLvl w:val="2"/>
        <w:rPr>
          <w:rFonts w:ascii="Times New Roman" w:hAnsi="Times New Roman" w:eastAsia="宋体" w:cs="Times New Roman"/>
          <w:sz w:val="28"/>
          <w:szCs w:val="28"/>
        </w:rPr>
      </w:pPr>
      <w:r>
        <w:rPr>
          <w:rFonts w:ascii="Times New Roman" w:hAnsi="Times New Roman" w:eastAsia="宋体" w:cs="Times New Roman"/>
          <w:sz w:val="28"/>
          <w:szCs w:val="28"/>
        </w:rPr>
        <w:br w:type="page"/>
      </w:r>
    </w:p>
    <w:p w14:paraId="7D3568AB">
      <w:pPr>
        <w:jc w:val="center"/>
        <w:outlineLvl w:val="2"/>
        <w:rPr>
          <w:rFonts w:ascii="Times New Roman" w:hAnsi="Times New Roman" w:eastAsia="宋体" w:cs="Times New Roman"/>
          <w:sz w:val="28"/>
          <w:szCs w:val="28"/>
        </w:rPr>
      </w:pPr>
      <w:bookmarkStart w:id="168" w:name="_Toc211511494"/>
      <w:r>
        <w:rPr>
          <w:rFonts w:hint="eastAsia" w:ascii="Times New Roman" w:hAnsi="Times New Roman" w:eastAsia="宋体" w:cs="Times New Roman"/>
          <w:sz w:val="28"/>
          <w:szCs w:val="28"/>
        </w:rPr>
        <w:t>（六）法律、行政法规规定的其他条件</w:t>
      </w:r>
      <w:bookmarkEnd w:id="168"/>
    </w:p>
    <w:p w14:paraId="04FD56A5">
      <w:pPr>
        <w:jc w:val="center"/>
        <w:outlineLvl w:val="2"/>
        <w:rPr>
          <w:rFonts w:ascii="Times New Roman" w:hAnsi="Times New Roman" w:eastAsia="宋体" w:cs="Times New Roman"/>
          <w:sz w:val="28"/>
          <w:szCs w:val="28"/>
        </w:rPr>
      </w:pPr>
    </w:p>
    <w:p w14:paraId="7916B025">
      <w:pPr>
        <w:jc w:val="center"/>
        <w:outlineLvl w:val="2"/>
        <w:rPr>
          <w:rFonts w:ascii="Times New Roman" w:hAnsi="Times New Roman" w:eastAsia="宋体" w:cs="Times New Roman"/>
          <w:sz w:val="28"/>
          <w:szCs w:val="28"/>
        </w:rPr>
      </w:pPr>
    </w:p>
    <w:p w14:paraId="767080E3">
      <w:pPr>
        <w:jc w:val="center"/>
        <w:outlineLvl w:val="2"/>
        <w:rPr>
          <w:rFonts w:ascii="Times New Roman" w:hAnsi="Times New Roman" w:eastAsia="宋体" w:cs="Times New Roman"/>
          <w:sz w:val="28"/>
          <w:szCs w:val="28"/>
        </w:rPr>
      </w:pPr>
    </w:p>
    <w:p w14:paraId="550D71A2">
      <w:pPr>
        <w:jc w:val="center"/>
        <w:outlineLvl w:val="2"/>
        <w:rPr>
          <w:rFonts w:ascii="Times New Roman" w:hAnsi="Times New Roman" w:eastAsia="宋体" w:cs="Times New Roman"/>
          <w:sz w:val="28"/>
          <w:szCs w:val="28"/>
        </w:rPr>
      </w:pPr>
    </w:p>
    <w:p w14:paraId="7FCD46B7">
      <w:pPr>
        <w:jc w:val="center"/>
        <w:outlineLvl w:val="2"/>
        <w:rPr>
          <w:rFonts w:ascii="Times New Roman" w:hAnsi="Times New Roman" w:eastAsia="宋体" w:cs="Times New Roman"/>
          <w:sz w:val="28"/>
          <w:szCs w:val="28"/>
        </w:rPr>
      </w:pPr>
    </w:p>
    <w:p w14:paraId="011EC5C8">
      <w:pPr>
        <w:jc w:val="center"/>
        <w:outlineLvl w:val="2"/>
        <w:rPr>
          <w:rFonts w:ascii="Times New Roman" w:hAnsi="Times New Roman" w:eastAsia="宋体" w:cs="Times New Roman"/>
          <w:sz w:val="28"/>
          <w:szCs w:val="28"/>
        </w:rPr>
      </w:pPr>
    </w:p>
    <w:p w14:paraId="14964155">
      <w:pPr>
        <w:jc w:val="center"/>
        <w:outlineLvl w:val="2"/>
        <w:rPr>
          <w:rFonts w:ascii="Times New Roman" w:hAnsi="Times New Roman" w:eastAsia="宋体" w:cs="Times New Roman"/>
          <w:sz w:val="28"/>
          <w:szCs w:val="28"/>
        </w:rPr>
      </w:pPr>
    </w:p>
    <w:p w14:paraId="63550BC8">
      <w:pPr>
        <w:jc w:val="center"/>
        <w:outlineLvl w:val="2"/>
        <w:rPr>
          <w:rFonts w:ascii="Times New Roman" w:hAnsi="Times New Roman" w:eastAsia="宋体" w:cs="Times New Roman"/>
          <w:sz w:val="28"/>
          <w:szCs w:val="28"/>
        </w:rPr>
      </w:pPr>
    </w:p>
    <w:p w14:paraId="50B1DBF2">
      <w:pPr>
        <w:jc w:val="center"/>
        <w:outlineLvl w:val="2"/>
        <w:rPr>
          <w:rFonts w:ascii="Times New Roman" w:hAnsi="Times New Roman" w:eastAsia="宋体" w:cs="Times New Roman"/>
          <w:sz w:val="28"/>
          <w:szCs w:val="28"/>
        </w:rPr>
      </w:pPr>
    </w:p>
    <w:p w14:paraId="524FC4CE">
      <w:pPr>
        <w:jc w:val="center"/>
        <w:outlineLvl w:val="2"/>
        <w:rPr>
          <w:rFonts w:ascii="Times New Roman" w:hAnsi="Times New Roman" w:eastAsia="宋体" w:cs="Times New Roman"/>
          <w:sz w:val="28"/>
          <w:szCs w:val="28"/>
        </w:rPr>
      </w:pPr>
    </w:p>
    <w:p w14:paraId="593DF045">
      <w:pPr>
        <w:jc w:val="center"/>
        <w:outlineLvl w:val="2"/>
        <w:rPr>
          <w:rFonts w:ascii="Times New Roman" w:hAnsi="Times New Roman" w:eastAsia="宋体" w:cs="Times New Roman"/>
          <w:sz w:val="28"/>
          <w:szCs w:val="28"/>
        </w:rPr>
      </w:pPr>
    </w:p>
    <w:p w14:paraId="38377450">
      <w:pPr>
        <w:jc w:val="center"/>
        <w:outlineLvl w:val="2"/>
        <w:rPr>
          <w:rFonts w:ascii="Times New Roman" w:hAnsi="Times New Roman" w:eastAsia="宋体" w:cs="Times New Roman"/>
          <w:sz w:val="28"/>
          <w:szCs w:val="28"/>
        </w:rPr>
      </w:pPr>
    </w:p>
    <w:p w14:paraId="4275F475">
      <w:pPr>
        <w:jc w:val="center"/>
        <w:outlineLvl w:val="2"/>
        <w:rPr>
          <w:rFonts w:ascii="Times New Roman" w:hAnsi="Times New Roman" w:eastAsia="宋体" w:cs="Times New Roman"/>
          <w:sz w:val="28"/>
          <w:szCs w:val="28"/>
        </w:rPr>
      </w:pPr>
    </w:p>
    <w:p w14:paraId="42300CB6">
      <w:pPr>
        <w:jc w:val="center"/>
        <w:outlineLvl w:val="2"/>
        <w:rPr>
          <w:rFonts w:ascii="Times New Roman" w:hAnsi="Times New Roman" w:eastAsia="宋体" w:cs="Times New Roman"/>
          <w:sz w:val="28"/>
          <w:szCs w:val="28"/>
        </w:rPr>
      </w:pPr>
    </w:p>
    <w:p w14:paraId="486484A6">
      <w:pPr>
        <w:jc w:val="center"/>
        <w:outlineLvl w:val="2"/>
        <w:rPr>
          <w:rFonts w:ascii="Times New Roman" w:hAnsi="Times New Roman" w:eastAsia="宋体" w:cs="Times New Roman"/>
          <w:sz w:val="28"/>
          <w:szCs w:val="28"/>
        </w:rPr>
      </w:pPr>
    </w:p>
    <w:p w14:paraId="5341A8AC">
      <w:pPr>
        <w:jc w:val="center"/>
        <w:outlineLvl w:val="2"/>
        <w:rPr>
          <w:rFonts w:ascii="Times New Roman" w:hAnsi="Times New Roman" w:eastAsia="宋体" w:cs="Times New Roman"/>
          <w:sz w:val="28"/>
          <w:szCs w:val="28"/>
        </w:rPr>
      </w:pPr>
    </w:p>
    <w:p w14:paraId="18F0BC8F">
      <w:pPr>
        <w:jc w:val="center"/>
        <w:outlineLvl w:val="2"/>
        <w:rPr>
          <w:rFonts w:ascii="Times New Roman" w:hAnsi="Times New Roman" w:eastAsia="宋体" w:cs="Times New Roman"/>
          <w:sz w:val="28"/>
          <w:szCs w:val="28"/>
        </w:rPr>
      </w:pPr>
    </w:p>
    <w:p w14:paraId="314B2431">
      <w:pPr>
        <w:pStyle w:val="15"/>
      </w:pPr>
    </w:p>
    <w:p w14:paraId="2AB849C3">
      <w:pPr>
        <w:pStyle w:val="15"/>
      </w:pPr>
    </w:p>
    <w:p w14:paraId="7AF28F22">
      <w:pPr>
        <w:pStyle w:val="15"/>
      </w:pPr>
    </w:p>
    <w:p w14:paraId="466A0EA0">
      <w:pPr>
        <w:pStyle w:val="15"/>
      </w:pPr>
    </w:p>
    <w:p w14:paraId="6DBFF2F4">
      <w:pPr>
        <w:pStyle w:val="15"/>
      </w:pPr>
    </w:p>
    <w:p w14:paraId="77D86AE1">
      <w:pPr>
        <w:pStyle w:val="15"/>
      </w:pPr>
    </w:p>
    <w:p w14:paraId="44893DD6">
      <w:pPr>
        <w:pStyle w:val="15"/>
      </w:pPr>
    </w:p>
    <w:p w14:paraId="60161D92">
      <w:pPr>
        <w:pStyle w:val="15"/>
      </w:pPr>
    </w:p>
    <w:p w14:paraId="667E66E7">
      <w:pPr>
        <w:jc w:val="center"/>
        <w:outlineLvl w:val="2"/>
        <w:rPr>
          <w:rFonts w:ascii="Times New Roman" w:hAnsi="Times New Roman" w:eastAsia="宋体" w:cs="Times New Roman"/>
          <w:sz w:val="28"/>
          <w:szCs w:val="28"/>
        </w:rPr>
      </w:pPr>
    </w:p>
    <w:p w14:paraId="0AD0F3F6">
      <w:pPr>
        <w:jc w:val="center"/>
        <w:outlineLvl w:val="2"/>
        <w:rPr>
          <w:rFonts w:ascii="Times New Roman" w:hAnsi="Times New Roman" w:eastAsia="宋体" w:cs="Times New Roman"/>
          <w:sz w:val="28"/>
          <w:szCs w:val="28"/>
        </w:rPr>
      </w:pPr>
      <w:bookmarkStart w:id="169" w:name="_Toc211511495"/>
      <w:r>
        <w:rPr>
          <w:rFonts w:hint="eastAsia" w:ascii="Times New Roman" w:hAnsi="Times New Roman" w:eastAsia="宋体" w:cs="Times New Roman"/>
          <w:sz w:val="28"/>
          <w:szCs w:val="28"/>
        </w:rPr>
        <w:t>（七）落实政府采购政策需满足的资格要求</w:t>
      </w:r>
      <w:bookmarkEnd w:id="169"/>
    </w:p>
    <w:p w14:paraId="0D2BD6B9">
      <w:pPr>
        <w:jc w:val="center"/>
        <w:outlineLvl w:val="2"/>
        <w:rPr>
          <w:rFonts w:ascii="Times New Roman" w:hAnsi="Times New Roman" w:eastAsia="宋体" w:cs="Times New Roman"/>
          <w:sz w:val="28"/>
          <w:szCs w:val="28"/>
        </w:rPr>
      </w:pPr>
    </w:p>
    <w:p w14:paraId="167A1847">
      <w:pPr>
        <w:jc w:val="center"/>
        <w:outlineLvl w:val="2"/>
        <w:rPr>
          <w:rFonts w:ascii="Times New Roman" w:hAnsi="Times New Roman" w:eastAsia="宋体" w:cs="Times New Roman"/>
          <w:sz w:val="28"/>
          <w:szCs w:val="28"/>
        </w:rPr>
      </w:pPr>
    </w:p>
    <w:p w14:paraId="65020B12">
      <w:pPr>
        <w:jc w:val="center"/>
        <w:outlineLvl w:val="2"/>
        <w:rPr>
          <w:rFonts w:ascii="Times New Roman" w:hAnsi="Times New Roman" w:eastAsia="宋体" w:cs="Times New Roman"/>
          <w:sz w:val="28"/>
          <w:szCs w:val="28"/>
        </w:rPr>
      </w:pPr>
    </w:p>
    <w:p w14:paraId="1A6FA2FC">
      <w:pPr>
        <w:jc w:val="center"/>
        <w:outlineLvl w:val="2"/>
        <w:rPr>
          <w:rFonts w:ascii="Times New Roman" w:hAnsi="Times New Roman" w:eastAsia="宋体" w:cs="Times New Roman"/>
          <w:sz w:val="28"/>
          <w:szCs w:val="28"/>
        </w:rPr>
      </w:pPr>
    </w:p>
    <w:p w14:paraId="47CC512C">
      <w:pPr>
        <w:jc w:val="center"/>
        <w:outlineLvl w:val="2"/>
        <w:rPr>
          <w:rFonts w:ascii="Times New Roman" w:hAnsi="Times New Roman" w:eastAsia="宋体" w:cs="Times New Roman"/>
          <w:sz w:val="28"/>
          <w:szCs w:val="28"/>
        </w:rPr>
      </w:pPr>
    </w:p>
    <w:p w14:paraId="0452E499">
      <w:pPr>
        <w:jc w:val="center"/>
        <w:outlineLvl w:val="2"/>
        <w:rPr>
          <w:rFonts w:ascii="Times New Roman" w:hAnsi="Times New Roman" w:eastAsia="宋体" w:cs="Times New Roman"/>
          <w:sz w:val="28"/>
          <w:szCs w:val="28"/>
        </w:rPr>
      </w:pPr>
    </w:p>
    <w:p w14:paraId="7B186C5D">
      <w:pPr>
        <w:jc w:val="center"/>
        <w:outlineLvl w:val="2"/>
        <w:rPr>
          <w:rFonts w:ascii="Times New Roman" w:hAnsi="Times New Roman" w:eastAsia="宋体" w:cs="Times New Roman"/>
          <w:sz w:val="28"/>
          <w:szCs w:val="28"/>
        </w:rPr>
      </w:pPr>
    </w:p>
    <w:p w14:paraId="7302211F">
      <w:pPr>
        <w:jc w:val="center"/>
        <w:outlineLvl w:val="2"/>
        <w:rPr>
          <w:rFonts w:ascii="Times New Roman" w:hAnsi="Times New Roman" w:eastAsia="宋体" w:cs="Times New Roman"/>
          <w:sz w:val="28"/>
          <w:szCs w:val="28"/>
        </w:rPr>
      </w:pPr>
    </w:p>
    <w:p w14:paraId="33BD8D7C">
      <w:pPr>
        <w:jc w:val="center"/>
        <w:outlineLvl w:val="2"/>
        <w:rPr>
          <w:rFonts w:ascii="Times New Roman" w:hAnsi="Times New Roman" w:eastAsia="宋体" w:cs="Times New Roman"/>
          <w:sz w:val="28"/>
          <w:szCs w:val="28"/>
        </w:rPr>
      </w:pPr>
    </w:p>
    <w:p w14:paraId="09E9A531">
      <w:pPr>
        <w:jc w:val="center"/>
        <w:outlineLvl w:val="2"/>
        <w:rPr>
          <w:rFonts w:ascii="Times New Roman" w:hAnsi="Times New Roman" w:eastAsia="宋体" w:cs="Times New Roman"/>
          <w:sz w:val="28"/>
          <w:szCs w:val="28"/>
        </w:rPr>
      </w:pPr>
    </w:p>
    <w:p w14:paraId="637305CA">
      <w:pPr>
        <w:jc w:val="center"/>
        <w:outlineLvl w:val="2"/>
        <w:rPr>
          <w:rFonts w:ascii="Times New Roman" w:hAnsi="Times New Roman" w:eastAsia="宋体" w:cs="Times New Roman"/>
          <w:sz w:val="28"/>
          <w:szCs w:val="28"/>
        </w:rPr>
      </w:pPr>
    </w:p>
    <w:p w14:paraId="4EB2110A">
      <w:pPr>
        <w:jc w:val="center"/>
        <w:outlineLvl w:val="2"/>
        <w:rPr>
          <w:rFonts w:ascii="Times New Roman" w:hAnsi="Times New Roman" w:eastAsia="宋体" w:cs="Times New Roman"/>
          <w:sz w:val="28"/>
          <w:szCs w:val="28"/>
        </w:rPr>
      </w:pPr>
    </w:p>
    <w:p w14:paraId="204493BD">
      <w:pPr>
        <w:jc w:val="center"/>
        <w:outlineLvl w:val="2"/>
        <w:rPr>
          <w:rFonts w:ascii="Times New Roman" w:hAnsi="Times New Roman" w:eastAsia="宋体" w:cs="Times New Roman"/>
          <w:sz w:val="28"/>
          <w:szCs w:val="28"/>
        </w:rPr>
      </w:pPr>
    </w:p>
    <w:p w14:paraId="01E46ABE">
      <w:pPr>
        <w:jc w:val="center"/>
        <w:outlineLvl w:val="2"/>
        <w:rPr>
          <w:rFonts w:ascii="Times New Roman" w:hAnsi="Times New Roman" w:eastAsia="宋体" w:cs="Times New Roman"/>
          <w:sz w:val="28"/>
          <w:szCs w:val="28"/>
        </w:rPr>
      </w:pPr>
    </w:p>
    <w:p w14:paraId="32DFAD87">
      <w:pPr>
        <w:jc w:val="center"/>
        <w:outlineLvl w:val="2"/>
        <w:rPr>
          <w:rFonts w:ascii="Times New Roman" w:hAnsi="Times New Roman" w:eastAsia="宋体" w:cs="Times New Roman"/>
          <w:sz w:val="28"/>
          <w:szCs w:val="28"/>
        </w:rPr>
      </w:pPr>
    </w:p>
    <w:p w14:paraId="4A10D7DB">
      <w:pPr>
        <w:jc w:val="center"/>
        <w:outlineLvl w:val="2"/>
        <w:rPr>
          <w:rFonts w:ascii="Times New Roman" w:hAnsi="Times New Roman" w:eastAsia="宋体" w:cs="Times New Roman"/>
          <w:sz w:val="28"/>
          <w:szCs w:val="28"/>
        </w:rPr>
      </w:pPr>
    </w:p>
    <w:p w14:paraId="0335C5CD">
      <w:pPr>
        <w:jc w:val="center"/>
        <w:outlineLvl w:val="2"/>
        <w:rPr>
          <w:rFonts w:ascii="Times New Roman" w:hAnsi="Times New Roman" w:eastAsia="宋体" w:cs="Times New Roman"/>
          <w:sz w:val="28"/>
          <w:szCs w:val="28"/>
        </w:rPr>
      </w:pPr>
    </w:p>
    <w:p w14:paraId="40F209C3">
      <w:pPr>
        <w:jc w:val="center"/>
        <w:outlineLvl w:val="2"/>
        <w:rPr>
          <w:rFonts w:ascii="Times New Roman" w:hAnsi="Times New Roman" w:eastAsia="宋体" w:cs="Times New Roman"/>
          <w:sz w:val="28"/>
          <w:szCs w:val="28"/>
        </w:rPr>
      </w:pPr>
    </w:p>
    <w:p w14:paraId="206D51D7">
      <w:pPr>
        <w:jc w:val="center"/>
        <w:outlineLvl w:val="2"/>
        <w:rPr>
          <w:rFonts w:ascii="Times New Roman" w:hAnsi="Times New Roman" w:eastAsia="宋体" w:cs="Times New Roman"/>
          <w:sz w:val="28"/>
          <w:szCs w:val="28"/>
        </w:rPr>
      </w:pPr>
    </w:p>
    <w:p w14:paraId="1CE960FA">
      <w:pPr>
        <w:jc w:val="center"/>
        <w:outlineLvl w:val="2"/>
        <w:rPr>
          <w:rFonts w:ascii="Times New Roman" w:hAnsi="Times New Roman" w:eastAsia="宋体" w:cs="Times New Roman"/>
          <w:sz w:val="28"/>
          <w:szCs w:val="28"/>
        </w:rPr>
      </w:pPr>
    </w:p>
    <w:p w14:paraId="403A0F51">
      <w:pPr>
        <w:jc w:val="center"/>
        <w:outlineLvl w:val="2"/>
        <w:rPr>
          <w:rFonts w:ascii="Times New Roman" w:hAnsi="Times New Roman" w:eastAsia="宋体" w:cs="Times New Roman"/>
          <w:sz w:val="28"/>
          <w:szCs w:val="28"/>
        </w:rPr>
      </w:pPr>
    </w:p>
    <w:p w14:paraId="0E6A6E9F">
      <w:pPr>
        <w:jc w:val="center"/>
        <w:outlineLvl w:val="2"/>
        <w:rPr>
          <w:rFonts w:ascii="Times New Roman" w:hAnsi="Times New Roman" w:eastAsia="宋体" w:cs="Times New Roman"/>
          <w:sz w:val="28"/>
          <w:szCs w:val="28"/>
        </w:rPr>
      </w:pPr>
    </w:p>
    <w:p w14:paraId="24227539">
      <w:pPr>
        <w:jc w:val="center"/>
        <w:outlineLvl w:val="2"/>
        <w:rPr>
          <w:rFonts w:ascii="Times New Roman" w:hAnsi="Times New Roman" w:eastAsia="宋体" w:cs="Times New Roman"/>
          <w:sz w:val="28"/>
          <w:szCs w:val="28"/>
        </w:rPr>
      </w:pPr>
    </w:p>
    <w:p w14:paraId="29F322D1">
      <w:pPr>
        <w:jc w:val="center"/>
        <w:outlineLvl w:val="2"/>
        <w:rPr>
          <w:rFonts w:ascii="Times New Roman" w:hAnsi="Times New Roman" w:eastAsia="宋体" w:cs="Times New Roman"/>
          <w:sz w:val="28"/>
          <w:szCs w:val="28"/>
        </w:rPr>
      </w:pPr>
      <w:bookmarkStart w:id="170" w:name="_Toc211511496"/>
      <w:r>
        <w:rPr>
          <w:rFonts w:hint="eastAsia" w:ascii="Times New Roman" w:hAnsi="Times New Roman" w:eastAsia="宋体" w:cs="Times New Roman"/>
          <w:sz w:val="28"/>
          <w:szCs w:val="28"/>
        </w:rPr>
        <w:t>（八）</w:t>
      </w:r>
      <w:r>
        <w:rPr>
          <w:rFonts w:ascii="Times New Roman" w:hAnsi="Times New Roman" w:eastAsia="宋体" w:cs="Times New Roman"/>
          <w:sz w:val="28"/>
          <w:szCs w:val="28"/>
        </w:rPr>
        <w:t>本项目的特定资格要求</w:t>
      </w:r>
      <w:bookmarkEnd w:id="170"/>
    </w:p>
    <w:p w14:paraId="32F0A384">
      <w:pPr>
        <w:pStyle w:val="15"/>
      </w:pPr>
    </w:p>
    <w:p w14:paraId="54BDD173">
      <w:pPr>
        <w:pStyle w:val="15"/>
      </w:pPr>
    </w:p>
    <w:p w14:paraId="11190218">
      <w:pPr>
        <w:pStyle w:val="15"/>
      </w:pPr>
    </w:p>
    <w:p w14:paraId="077219FB">
      <w:pPr>
        <w:pStyle w:val="15"/>
      </w:pPr>
    </w:p>
    <w:p w14:paraId="3F5B5BB2">
      <w:pPr>
        <w:pStyle w:val="15"/>
      </w:pPr>
    </w:p>
    <w:p w14:paraId="2ED98745">
      <w:pPr>
        <w:pStyle w:val="15"/>
      </w:pPr>
    </w:p>
    <w:p w14:paraId="6A27201B">
      <w:pPr>
        <w:pStyle w:val="15"/>
      </w:pPr>
    </w:p>
    <w:p w14:paraId="7A0794EE">
      <w:pPr>
        <w:pStyle w:val="15"/>
      </w:pPr>
    </w:p>
    <w:p w14:paraId="0FE96899">
      <w:pPr>
        <w:pStyle w:val="15"/>
      </w:pPr>
    </w:p>
    <w:p w14:paraId="085E6C0F">
      <w:pPr>
        <w:pStyle w:val="15"/>
      </w:pPr>
    </w:p>
    <w:p w14:paraId="296430F3">
      <w:pPr>
        <w:pStyle w:val="15"/>
      </w:pPr>
    </w:p>
    <w:p w14:paraId="03B6A848">
      <w:pPr>
        <w:pStyle w:val="15"/>
      </w:pPr>
    </w:p>
    <w:p w14:paraId="11628902">
      <w:pPr>
        <w:pStyle w:val="15"/>
      </w:pPr>
    </w:p>
    <w:p w14:paraId="0C2EC3B5">
      <w:pPr>
        <w:pStyle w:val="15"/>
      </w:pPr>
    </w:p>
    <w:p w14:paraId="6F8B7A99">
      <w:pPr>
        <w:jc w:val="center"/>
        <w:outlineLvl w:val="2"/>
        <w:rPr>
          <w:rFonts w:ascii="宋体" w:hAnsi="宋体" w:eastAsia="宋体" w:cs="宋体"/>
          <w:sz w:val="24"/>
        </w:rPr>
      </w:pPr>
      <w:r>
        <w:rPr>
          <w:rFonts w:ascii="宋体" w:hAnsi="宋体" w:eastAsia="宋体" w:cs="宋体"/>
          <w:sz w:val="24"/>
        </w:rPr>
        <w:br w:type="page"/>
      </w:r>
    </w:p>
    <w:p w14:paraId="54EB3525">
      <w:pPr>
        <w:jc w:val="center"/>
        <w:outlineLvl w:val="2"/>
        <w:rPr>
          <w:rFonts w:ascii="Times New Roman" w:hAnsi="Times New Roman" w:eastAsia="宋体" w:cs="Times New Roman"/>
          <w:sz w:val="28"/>
          <w:szCs w:val="28"/>
        </w:rPr>
      </w:pPr>
      <w:bookmarkStart w:id="171" w:name="_Toc211511497"/>
      <w:r>
        <w:rPr>
          <w:rFonts w:hint="eastAsia" w:ascii="Times New Roman" w:hAnsi="Times New Roman" w:eastAsia="宋体" w:cs="Times New Roman"/>
          <w:sz w:val="28"/>
          <w:szCs w:val="28"/>
        </w:rPr>
        <w:t>（九）</w:t>
      </w:r>
      <w:r>
        <w:rPr>
          <w:rFonts w:ascii="Times New Roman" w:hAnsi="Times New Roman" w:eastAsia="宋体" w:cs="Times New Roman"/>
          <w:sz w:val="28"/>
          <w:szCs w:val="28"/>
        </w:rPr>
        <w:t>法定代表人(负责人)身份证明书</w:t>
      </w:r>
      <w:bookmarkEnd w:id="171"/>
    </w:p>
    <w:p w14:paraId="5E62A621">
      <w:pPr>
        <w:spacing w:line="440" w:lineRule="exact"/>
        <w:ind w:firstLine="480" w:firstLineChars="200"/>
        <w:rPr>
          <w:rFonts w:ascii="宋体" w:hAnsi="宋体" w:eastAsia="宋体" w:cs="宋体"/>
          <w:sz w:val="24"/>
        </w:rPr>
      </w:pPr>
    </w:p>
    <w:p w14:paraId="098C2A17">
      <w:pPr>
        <w:spacing w:line="440" w:lineRule="exact"/>
        <w:ind w:firstLine="480" w:firstLineChars="200"/>
        <w:rPr>
          <w:rFonts w:ascii="宋体" w:hAnsi="宋体" w:eastAsia="宋体" w:cs="宋体"/>
          <w:sz w:val="24"/>
        </w:rPr>
      </w:pPr>
      <w:r>
        <w:rPr>
          <w:rFonts w:ascii="宋体" w:hAnsi="宋体" w:eastAsia="宋体" w:cs="宋体"/>
          <w:sz w:val="24"/>
        </w:rPr>
        <w:t>兹证明</w:t>
      </w:r>
      <w:r>
        <w:rPr>
          <w:rFonts w:ascii="宋体" w:hAnsi="宋体" w:eastAsia="宋体" w:cs="宋体"/>
          <w:sz w:val="24"/>
          <w:u w:val="single"/>
        </w:rPr>
        <w:t>(姓名)</w:t>
      </w:r>
      <w:r>
        <w:rPr>
          <w:rFonts w:ascii="宋体" w:hAnsi="宋体" w:eastAsia="宋体" w:cs="宋体"/>
          <w:sz w:val="24"/>
        </w:rPr>
        <w:t>同志，性别</w:t>
      </w:r>
      <w:r>
        <w:rPr>
          <w:rFonts w:ascii="宋体" w:hAnsi="宋体" w:eastAsia="宋体" w:cs="宋体"/>
          <w:sz w:val="24"/>
          <w:u w:val="single"/>
        </w:rPr>
        <w:t>(男/女)</w:t>
      </w:r>
      <w:r>
        <w:rPr>
          <w:rFonts w:ascii="宋体" w:hAnsi="宋体" w:eastAsia="宋体" w:cs="宋体"/>
          <w:sz w:val="24"/>
        </w:rPr>
        <w:t>,居民身份证号</w:t>
      </w:r>
      <w:r>
        <w:rPr>
          <w:rFonts w:ascii="宋体" w:hAnsi="宋体" w:eastAsia="宋体" w:cs="宋体"/>
          <w:sz w:val="24"/>
          <w:u w:val="single"/>
        </w:rPr>
        <w:t>(身份证号码)</w:t>
      </w:r>
      <w:r>
        <w:rPr>
          <w:rFonts w:ascii="宋体" w:hAnsi="宋体" w:eastAsia="宋体" w:cs="宋体"/>
          <w:sz w:val="24"/>
        </w:rPr>
        <w:t>,在我单位任</w:t>
      </w:r>
      <w:r>
        <w:rPr>
          <w:rFonts w:ascii="宋体" w:hAnsi="宋体" w:eastAsia="宋体" w:cs="宋体"/>
          <w:sz w:val="24"/>
          <w:u w:val="single"/>
        </w:rPr>
        <w:t>(职务)</w:t>
      </w:r>
      <w:r>
        <w:rPr>
          <w:rFonts w:ascii="宋体" w:hAnsi="宋体" w:eastAsia="宋体" w:cs="宋体"/>
          <w:sz w:val="24"/>
        </w:rPr>
        <w:t>,系我单位主要负责人即法定代表人。</w:t>
      </w:r>
    </w:p>
    <w:p w14:paraId="61376F9F">
      <w:pPr>
        <w:spacing w:line="282" w:lineRule="auto"/>
        <w:rPr>
          <w:rFonts w:ascii="Arial"/>
        </w:rPr>
      </w:pPr>
    </w:p>
    <w:p w14:paraId="26C21A9A">
      <w:pPr>
        <w:spacing w:line="440" w:lineRule="exact"/>
        <w:ind w:firstLine="480" w:firstLineChars="200"/>
        <w:rPr>
          <w:rFonts w:ascii="宋体" w:hAnsi="宋体" w:eastAsia="宋体" w:cs="宋体"/>
          <w:sz w:val="24"/>
          <w:u w:val="single"/>
        </w:rPr>
      </w:pPr>
      <w:r>
        <w:rPr>
          <w:rFonts w:ascii="宋体" w:hAnsi="宋体" w:eastAsia="宋体" w:cs="宋体"/>
          <w:sz w:val="24"/>
        </w:rPr>
        <w:t>单位地址：</w:t>
      </w:r>
      <w:r>
        <w:rPr>
          <w:rFonts w:ascii="宋体" w:hAnsi="宋体" w:eastAsia="宋体" w:cs="宋体"/>
          <w:sz w:val="24"/>
          <w:u w:val="single"/>
        </w:rPr>
        <w:t>××</w:t>
      </w:r>
    </w:p>
    <w:p w14:paraId="7F8358BD">
      <w:pPr>
        <w:spacing w:line="440" w:lineRule="exact"/>
        <w:ind w:firstLine="480" w:firstLineChars="200"/>
        <w:rPr>
          <w:rFonts w:ascii="宋体" w:hAnsi="宋体" w:eastAsia="宋体" w:cs="宋体"/>
          <w:sz w:val="24"/>
        </w:rPr>
      </w:pPr>
    </w:p>
    <w:p w14:paraId="6CF03FD8">
      <w:pPr>
        <w:spacing w:line="440" w:lineRule="exact"/>
        <w:ind w:firstLine="480" w:firstLineChars="200"/>
        <w:rPr>
          <w:rFonts w:ascii="宋体" w:hAnsi="宋体" w:eastAsia="宋体" w:cs="宋体"/>
          <w:sz w:val="24"/>
          <w:u w:val="single"/>
        </w:rPr>
      </w:pPr>
      <w:r>
        <w:rPr>
          <w:rFonts w:ascii="宋体" w:hAnsi="宋体" w:eastAsia="宋体" w:cs="宋体"/>
          <w:sz w:val="24"/>
        </w:rPr>
        <w:t>电话：</w:t>
      </w:r>
      <w:r>
        <w:rPr>
          <w:rFonts w:ascii="宋体" w:hAnsi="宋体" w:eastAsia="宋体" w:cs="宋体"/>
          <w:sz w:val="24"/>
          <w:u w:val="single"/>
        </w:rPr>
        <w:t>××</w:t>
      </w:r>
    </w:p>
    <w:p w14:paraId="57CE44F7">
      <w:pPr>
        <w:spacing w:line="440" w:lineRule="exact"/>
        <w:ind w:firstLine="480" w:firstLineChars="200"/>
        <w:rPr>
          <w:rFonts w:ascii="宋体" w:hAnsi="宋体" w:eastAsia="宋体" w:cs="宋体"/>
          <w:sz w:val="24"/>
        </w:rPr>
      </w:pPr>
    </w:p>
    <w:p w14:paraId="1F38AF8B">
      <w:pPr>
        <w:spacing w:line="440" w:lineRule="exact"/>
        <w:ind w:firstLine="480" w:firstLineChars="200"/>
        <w:rPr>
          <w:rFonts w:ascii="宋体" w:hAnsi="宋体" w:eastAsia="宋体" w:cs="宋体"/>
          <w:sz w:val="24"/>
          <w:u w:val="single"/>
        </w:rPr>
      </w:pPr>
      <w:r>
        <w:rPr>
          <w:rFonts w:ascii="宋体" w:hAnsi="宋体" w:eastAsia="宋体" w:cs="宋体"/>
          <w:sz w:val="24"/>
        </w:rPr>
        <w:t>单位全称：</w:t>
      </w:r>
      <w:r>
        <w:rPr>
          <w:rFonts w:ascii="宋体" w:hAnsi="宋体" w:eastAsia="宋体" w:cs="宋体"/>
          <w:sz w:val="24"/>
          <w:u w:val="single"/>
        </w:rPr>
        <w:t>××</w:t>
      </w:r>
    </w:p>
    <w:p w14:paraId="5CB32BFB">
      <w:pPr>
        <w:spacing w:line="440" w:lineRule="exact"/>
        <w:ind w:firstLine="480" w:firstLineChars="200"/>
        <w:rPr>
          <w:rFonts w:ascii="宋体" w:hAnsi="宋体" w:eastAsia="宋体" w:cs="宋体"/>
          <w:sz w:val="24"/>
        </w:rPr>
      </w:pPr>
    </w:p>
    <w:p w14:paraId="60AB16C5">
      <w:pPr>
        <w:spacing w:line="440" w:lineRule="exact"/>
        <w:ind w:firstLine="480" w:firstLineChars="200"/>
        <w:rPr>
          <w:rFonts w:ascii="宋体" w:hAnsi="宋体" w:eastAsia="宋体" w:cs="宋体"/>
          <w:sz w:val="24"/>
          <w:u w:val="single"/>
        </w:rPr>
      </w:pPr>
      <w:r>
        <w:rPr>
          <w:rFonts w:ascii="宋体" w:hAnsi="宋体" w:eastAsia="宋体" w:cs="宋体"/>
          <w:sz w:val="24"/>
        </w:rPr>
        <w:t>单位盖章：</w:t>
      </w:r>
      <w:r>
        <w:rPr>
          <w:rFonts w:ascii="宋体" w:hAnsi="宋体" w:eastAsia="宋体" w:cs="宋体"/>
          <w:sz w:val="24"/>
          <w:u w:val="single"/>
        </w:rPr>
        <w:t>××</w:t>
      </w:r>
    </w:p>
    <w:p w14:paraId="1E957490">
      <w:pPr>
        <w:spacing w:line="440" w:lineRule="exact"/>
        <w:ind w:firstLine="480" w:firstLineChars="200"/>
        <w:rPr>
          <w:rFonts w:ascii="宋体" w:hAnsi="宋体" w:eastAsia="宋体" w:cs="宋体"/>
          <w:sz w:val="24"/>
        </w:rPr>
      </w:pPr>
    </w:p>
    <w:p w14:paraId="66A5687D">
      <w:pPr>
        <w:spacing w:line="440" w:lineRule="exact"/>
        <w:ind w:firstLine="480" w:firstLineChars="200"/>
        <w:rPr>
          <w:rFonts w:ascii="宋体" w:hAnsi="宋体" w:eastAsia="宋体" w:cs="宋体"/>
          <w:sz w:val="24"/>
        </w:rPr>
      </w:pPr>
    </w:p>
    <w:p w14:paraId="72A67BBE">
      <w:pPr>
        <w:spacing w:line="440" w:lineRule="exact"/>
        <w:ind w:firstLine="480" w:firstLineChars="200"/>
        <w:rPr>
          <w:rFonts w:ascii="宋体" w:hAnsi="宋体" w:eastAsia="宋体" w:cs="宋体"/>
          <w:sz w:val="24"/>
        </w:rPr>
      </w:pPr>
    </w:p>
    <w:p w14:paraId="77E61D48">
      <w:pPr>
        <w:spacing w:line="440" w:lineRule="exact"/>
        <w:ind w:firstLine="480" w:firstLineChars="200"/>
        <w:jc w:val="right"/>
        <w:rPr>
          <w:rFonts w:ascii="宋体" w:hAnsi="宋体" w:eastAsia="宋体" w:cs="宋体"/>
          <w:sz w:val="24"/>
        </w:rPr>
      </w:pPr>
      <w:r>
        <w:rPr>
          <w:rFonts w:ascii="宋体" w:hAnsi="宋体" w:eastAsia="宋体" w:cs="宋体"/>
          <w:sz w:val="24"/>
        </w:rPr>
        <w:t>年月日</w:t>
      </w:r>
    </w:p>
    <w:p w14:paraId="51FE5DB3">
      <w:pPr>
        <w:spacing w:line="265" w:lineRule="auto"/>
        <w:rPr>
          <w:rFonts w:ascii="Arial"/>
        </w:rPr>
      </w:pPr>
    </w:p>
    <w:p w14:paraId="265D7053">
      <w:pPr>
        <w:spacing w:line="265" w:lineRule="auto"/>
        <w:rPr>
          <w:rFonts w:ascii="Arial"/>
        </w:rPr>
      </w:pPr>
    </w:p>
    <w:p w14:paraId="69AAE0E3">
      <w:pPr>
        <w:spacing w:line="265" w:lineRule="auto"/>
        <w:rPr>
          <w:rFonts w:ascii="Arial"/>
        </w:rPr>
      </w:pPr>
    </w:p>
    <w:p w14:paraId="5B826245">
      <w:pPr>
        <w:spacing w:line="440" w:lineRule="exact"/>
        <w:ind w:firstLine="480" w:firstLineChars="200"/>
        <w:rPr>
          <w:rFonts w:ascii="宋体" w:hAnsi="宋体" w:eastAsia="宋体" w:cs="宋体"/>
          <w:sz w:val="24"/>
        </w:rPr>
      </w:pPr>
      <w:r>
        <w:rPr>
          <w:rFonts w:ascii="宋体" w:hAnsi="宋体" w:eastAsia="宋体" w:cs="宋体"/>
          <w:sz w:val="24"/>
        </w:rPr>
        <w:t>附：法定代表人居民身份证扫描件</w:t>
      </w:r>
    </w:p>
    <w:p w14:paraId="3400C9EF">
      <w:pPr>
        <w:spacing w:line="440" w:lineRule="exact"/>
        <w:ind w:firstLine="480" w:firstLineChars="200"/>
        <w:rPr>
          <w:rFonts w:ascii="宋体" w:hAnsi="宋体" w:eastAsia="宋体" w:cs="宋体"/>
          <w:sz w:val="24"/>
        </w:rPr>
      </w:pPr>
      <w:r>
        <w:rPr>
          <w:rFonts w:ascii="宋体" w:hAnsi="宋体" w:eastAsia="宋体" w:cs="宋体"/>
          <w:sz w:val="24"/>
        </w:rPr>
        <w:t>注：1.“法定代表人”直接参加磋商响应活动的仅需填写本身份证明，个人居民身份证携带备查。</w:t>
      </w:r>
    </w:p>
    <w:p w14:paraId="1D4F99A3">
      <w:pPr>
        <w:spacing w:line="440" w:lineRule="exact"/>
        <w:ind w:firstLine="480" w:firstLineChars="200"/>
        <w:rPr>
          <w:rFonts w:ascii="宋体" w:hAnsi="宋体" w:eastAsia="宋体" w:cs="宋体"/>
          <w:sz w:val="24"/>
        </w:rPr>
      </w:pPr>
      <w:r>
        <w:rPr>
          <w:rFonts w:ascii="宋体" w:hAnsi="宋体" w:eastAsia="宋体" w:cs="宋体"/>
          <w:sz w:val="24"/>
        </w:rPr>
        <w:t>2.供应商属于非法人组织的，按照法律、行政法规规定能够对外代表其从事民事活动的主要负责人，如个人独资企业的投资人，代表合伙企业执行</w:t>
      </w:r>
      <w:r>
        <w:rPr>
          <w:rFonts w:hint="eastAsia" w:ascii="宋体" w:hAnsi="宋体" w:eastAsia="宋体" w:cs="宋体"/>
          <w:sz w:val="24"/>
        </w:rPr>
        <w:t>合伙企业事务的合伙人等，视同法定代表人。</w:t>
      </w:r>
    </w:p>
    <w:p w14:paraId="11C5C474">
      <w:pPr>
        <w:pStyle w:val="7"/>
        <w:sectPr>
          <w:footerReference r:id="rId19" w:type="default"/>
          <w:pgSz w:w="11906" w:h="16838"/>
          <w:pgMar w:top="1440" w:right="1242" w:bottom="1440" w:left="1242" w:header="851" w:footer="992" w:gutter="0"/>
          <w:cols w:space="425" w:num="1"/>
          <w:docGrid w:type="lines" w:linePitch="312" w:charSpace="0"/>
        </w:sectPr>
      </w:pPr>
    </w:p>
    <w:p w14:paraId="6B0E5F7E">
      <w:pPr>
        <w:jc w:val="center"/>
        <w:outlineLvl w:val="2"/>
        <w:rPr>
          <w:rFonts w:ascii="Times New Roman" w:hAnsi="Times New Roman" w:eastAsia="宋体" w:cs="Times New Roman"/>
          <w:sz w:val="28"/>
          <w:szCs w:val="28"/>
        </w:rPr>
      </w:pPr>
      <w:bookmarkStart w:id="172" w:name="_Toc211511498"/>
      <w:r>
        <w:rPr>
          <w:rFonts w:hint="eastAsia" w:ascii="Times New Roman" w:hAnsi="Times New Roman" w:eastAsia="宋体" w:cs="Times New Roman"/>
          <w:sz w:val="28"/>
          <w:szCs w:val="28"/>
        </w:rPr>
        <w:t>（十）</w:t>
      </w:r>
      <w:r>
        <w:rPr>
          <w:rFonts w:ascii="Times New Roman" w:hAnsi="Times New Roman" w:eastAsia="宋体" w:cs="Times New Roman"/>
          <w:sz w:val="28"/>
          <w:szCs w:val="28"/>
        </w:rPr>
        <w:t>法定代表人(负责人)授权委托书</w:t>
      </w:r>
      <w:bookmarkEnd w:id="172"/>
    </w:p>
    <w:p w14:paraId="21725E4F">
      <w:pPr>
        <w:spacing w:line="440" w:lineRule="exact"/>
        <w:ind w:firstLine="480" w:firstLineChars="200"/>
        <w:rPr>
          <w:rFonts w:ascii="宋体" w:hAnsi="宋体" w:eastAsia="宋体" w:cs="宋体"/>
          <w:sz w:val="24"/>
        </w:rPr>
      </w:pPr>
      <w:r>
        <w:rPr>
          <w:rFonts w:ascii="宋体" w:hAnsi="宋体" w:eastAsia="宋体" w:cs="宋体"/>
          <w:sz w:val="24"/>
        </w:rPr>
        <w:t>本授权书声明：</w:t>
      </w:r>
      <w:r>
        <w:rPr>
          <w:rFonts w:ascii="宋体" w:hAnsi="宋体" w:eastAsia="宋体" w:cs="宋体"/>
          <w:sz w:val="24"/>
          <w:u w:val="single"/>
        </w:rPr>
        <w:t>(供应商名称)</w:t>
      </w:r>
      <w:r>
        <w:rPr>
          <w:rFonts w:ascii="宋体" w:hAnsi="宋体" w:eastAsia="宋体" w:cs="宋体"/>
          <w:sz w:val="24"/>
        </w:rPr>
        <w:t>法定代表人(负责人)</w:t>
      </w:r>
      <w:r>
        <w:rPr>
          <w:rFonts w:ascii="宋体" w:hAnsi="宋体" w:eastAsia="宋体" w:cs="宋体"/>
          <w:sz w:val="24"/>
          <w:u w:val="single"/>
        </w:rPr>
        <w:t>(姓名)</w:t>
      </w:r>
      <w:r>
        <w:rPr>
          <w:rFonts w:ascii="宋体" w:hAnsi="宋体" w:eastAsia="宋体" w:cs="宋体"/>
          <w:sz w:val="24"/>
        </w:rPr>
        <w:t>授权</w:t>
      </w:r>
      <w:r>
        <w:rPr>
          <w:rFonts w:ascii="宋体" w:hAnsi="宋体" w:eastAsia="宋体" w:cs="宋体"/>
          <w:sz w:val="24"/>
          <w:u w:val="single"/>
        </w:rPr>
        <w:t>(委托代理人的姓名、职务)</w:t>
      </w:r>
      <w:r>
        <w:rPr>
          <w:rFonts w:ascii="宋体" w:hAnsi="宋体" w:eastAsia="宋体" w:cs="宋体"/>
          <w:sz w:val="24"/>
        </w:rPr>
        <w:t>为我方就</w:t>
      </w:r>
      <w:r>
        <w:rPr>
          <w:rFonts w:ascii="宋体" w:hAnsi="宋体" w:eastAsia="宋体" w:cs="宋体"/>
          <w:sz w:val="24"/>
          <w:u w:val="single"/>
        </w:rPr>
        <w:t>××××(代理机构)代理的××××(项目编号、项目名称)</w:t>
      </w:r>
      <w:r>
        <w:rPr>
          <w:rFonts w:ascii="宋体" w:hAnsi="宋体" w:eastAsia="宋体" w:cs="宋体"/>
          <w:sz w:val="24"/>
        </w:rPr>
        <w:t>项目的谈判活动的合法代理人，以本单位名义全权处理一切与该项目谈判有关的事务(含合同签订)。</w:t>
      </w:r>
    </w:p>
    <w:p w14:paraId="3B98C827">
      <w:pPr>
        <w:spacing w:line="440" w:lineRule="exact"/>
        <w:ind w:firstLine="480" w:firstLineChars="200"/>
        <w:rPr>
          <w:rFonts w:ascii="宋体" w:hAnsi="宋体" w:eastAsia="宋体" w:cs="宋体"/>
          <w:sz w:val="24"/>
        </w:rPr>
      </w:pPr>
    </w:p>
    <w:p w14:paraId="6F4356A2">
      <w:pPr>
        <w:spacing w:line="440" w:lineRule="exact"/>
        <w:ind w:firstLine="480" w:firstLineChars="200"/>
        <w:rPr>
          <w:rFonts w:ascii="宋体" w:hAnsi="宋体" w:eastAsia="宋体" w:cs="宋体"/>
          <w:sz w:val="24"/>
        </w:rPr>
      </w:pPr>
      <w:r>
        <w:rPr>
          <w:rFonts w:ascii="宋体" w:hAnsi="宋体" w:eastAsia="宋体" w:cs="宋体"/>
          <w:sz w:val="24"/>
        </w:rPr>
        <w:t>本授权委托书于</w:t>
      </w:r>
      <w:r>
        <w:rPr>
          <w:rFonts w:ascii="宋体" w:hAnsi="宋体" w:eastAsia="宋体" w:cs="宋体"/>
          <w:sz w:val="24"/>
          <w:u w:val="single"/>
        </w:rPr>
        <w:t>××</w:t>
      </w:r>
      <w:r>
        <w:rPr>
          <w:rFonts w:ascii="宋体" w:hAnsi="宋体" w:eastAsia="宋体" w:cs="宋体"/>
          <w:sz w:val="24"/>
        </w:rPr>
        <w:t>年</w:t>
      </w:r>
      <w:r>
        <w:rPr>
          <w:rFonts w:ascii="宋体" w:hAnsi="宋体" w:eastAsia="宋体" w:cs="宋体"/>
          <w:sz w:val="24"/>
          <w:u w:val="single"/>
        </w:rPr>
        <w:t>××</w:t>
      </w:r>
      <w:r>
        <w:rPr>
          <w:rFonts w:ascii="宋体" w:hAnsi="宋体" w:eastAsia="宋体" w:cs="宋体"/>
          <w:sz w:val="24"/>
        </w:rPr>
        <w:t>月</w:t>
      </w:r>
      <w:r>
        <w:rPr>
          <w:rFonts w:ascii="宋体" w:hAnsi="宋体" w:eastAsia="宋体" w:cs="宋体"/>
          <w:sz w:val="24"/>
          <w:u w:val="single"/>
        </w:rPr>
        <w:t>××</w:t>
      </w:r>
      <w:r>
        <w:rPr>
          <w:rFonts w:ascii="宋体" w:hAnsi="宋体" w:eastAsia="宋体" w:cs="宋体"/>
          <w:sz w:val="24"/>
        </w:rPr>
        <w:t>日在相应位置签字或盖章后生效，特此声明。</w:t>
      </w:r>
    </w:p>
    <w:p w14:paraId="055F7639"/>
    <w:p w14:paraId="3A471571">
      <w:pPr>
        <w:spacing w:line="440" w:lineRule="exact"/>
        <w:ind w:firstLine="480" w:firstLineChars="200"/>
        <w:rPr>
          <w:rFonts w:ascii="宋体" w:hAnsi="宋体" w:eastAsia="宋体" w:cs="宋体"/>
          <w:sz w:val="24"/>
        </w:rPr>
      </w:pPr>
      <w:r>
        <w:rPr>
          <w:rFonts w:ascii="宋体" w:hAnsi="宋体" w:eastAsia="宋体" w:cs="宋体"/>
          <w:sz w:val="24"/>
        </w:rPr>
        <w:t>委托代理人身份证号码：</w:t>
      </w:r>
    </w:p>
    <w:p w14:paraId="540E5462"/>
    <w:p w14:paraId="44C8269E">
      <w:pPr>
        <w:spacing w:line="440" w:lineRule="exact"/>
        <w:ind w:firstLine="480" w:firstLineChars="200"/>
        <w:rPr>
          <w:rFonts w:ascii="宋体" w:hAnsi="宋体" w:eastAsia="宋体" w:cs="宋体"/>
          <w:sz w:val="24"/>
        </w:rPr>
      </w:pPr>
      <w:r>
        <w:rPr>
          <w:rFonts w:ascii="宋体" w:hAnsi="宋体" w:eastAsia="宋体" w:cs="宋体"/>
          <w:sz w:val="24"/>
        </w:rPr>
        <w:t>委托代理人联系电话：(手机)</w:t>
      </w:r>
    </w:p>
    <w:p w14:paraId="4D7E4E45"/>
    <w:p w14:paraId="018D82DD">
      <w:pPr>
        <w:spacing w:line="440" w:lineRule="exact"/>
        <w:ind w:firstLine="480" w:firstLineChars="200"/>
        <w:rPr>
          <w:rFonts w:ascii="宋体" w:hAnsi="宋体" w:eastAsia="宋体" w:cs="宋体"/>
          <w:sz w:val="24"/>
        </w:rPr>
      </w:pPr>
      <w:r>
        <w:rPr>
          <w:rFonts w:ascii="宋体" w:hAnsi="宋体" w:eastAsia="宋体" w:cs="宋体"/>
          <w:sz w:val="24"/>
        </w:rPr>
        <w:t>法定代表人(负责人)签章</w:t>
      </w:r>
      <w:r>
        <w:rPr>
          <w:rFonts w:hint="eastAsia" w:ascii="宋体" w:hAnsi="宋体" w:eastAsia="宋体" w:cs="宋体"/>
          <w:sz w:val="24"/>
        </w:rPr>
        <w:t>:</w:t>
      </w:r>
    </w:p>
    <w:p w14:paraId="2CE20AF0">
      <w:pPr>
        <w:spacing w:line="440" w:lineRule="exact"/>
        <w:ind w:firstLine="480" w:firstLineChars="200"/>
        <w:rPr>
          <w:rFonts w:ascii="宋体" w:hAnsi="宋体" w:eastAsia="宋体" w:cs="宋体"/>
          <w:sz w:val="24"/>
        </w:rPr>
      </w:pPr>
    </w:p>
    <w:p w14:paraId="76CA6AEF">
      <w:pPr>
        <w:spacing w:line="440" w:lineRule="exact"/>
        <w:ind w:firstLine="480" w:firstLineChars="200"/>
        <w:rPr>
          <w:rFonts w:ascii="宋体" w:hAnsi="宋体" w:eastAsia="宋体" w:cs="宋体"/>
          <w:sz w:val="24"/>
        </w:rPr>
      </w:pPr>
      <w:r>
        <w:rPr>
          <w:rFonts w:ascii="宋体" w:hAnsi="宋体" w:eastAsia="宋体" w:cs="宋体"/>
          <w:sz w:val="24"/>
        </w:rPr>
        <w:t>供应商名称(公章):</w:t>
      </w:r>
    </w:p>
    <w:p w14:paraId="4E753EAF"/>
    <w:p w14:paraId="02F2985E">
      <w:pPr>
        <w:spacing w:line="440" w:lineRule="exact"/>
        <w:ind w:firstLine="480" w:firstLineChars="200"/>
        <w:rPr>
          <w:rFonts w:ascii="宋体" w:hAnsi="宋体" w:eastAsia="宋体" w:cs="宋体"/>
          <w:sz w:val="24"/>
        </w:rPr>
      </w:pPr>
      <w:r>
        <w:rPr>
          <w:rFonts w:ascii="宋体" w:hAnsi="宋体" w:eastAsia="宋体" w:cs="宋体"/>
          <w:sz w:val="24"/>
        </w:rPr>
        <w:t>日期：</w:t>
      </w:r>
    </w:p>
    <w:p w14:paraId="2FCC0AFE"/>
    <w:p w14:paraId="41CE78A2">
      <w:pPr>
        <w:spacing w:line="440" w:lineRule="exact"/>
        <w:ind w:firstLine="480" w:firstLineChars="200"/>
        <w:rPr>
          <w:rFonts w:ascii="宋体" w:hAnsi="宋体" w:eastAsia="宋体" w:cs="宋体"/>
          <w:sz w:val="24"/>
        </w:rPr>
      </w:pPr>
      <w:r>
        <w:rPr>
          <w:rFonts w:ascii="宋体" w:hAnsi="宋体" w:eastAsia="宋体" w:cs="宋体"/>
          <w:sz w:val="24"/>
        </w:rPr>
        <w:t>附：委托代理人居民身份证扫描件</w:t>
      </w:r>
    </w:p>
    <w:p w14:paraId="28F6BED6">
      <w:pPr>
        <w:spacing w:line="440" w:lineRule="exact"/>
        <w:ind w:firstLine="480" w:firstLineChars="200"/>
        <w:rPr>
          <w:rFonts w:ascii="宋体" w:hAnsi="宋体" w:eastAsia="宋体" w:cs="宋体"/>
          <w:sz w:val="24"/>
        </w:rPr>
      </w:pPr>
      <w:r>
        <w:rPr>
          <w:rFonts w:ascii="宋体" w:hAnsi="宋体" w:eastAsia="宋体" w:cs="宋体"/>
          <w:sz w:val="24"/>
        </w:rPr>
        <w:t>注："法定代表人(负责人)"授权委托其他人磋商的，须填写法定代表人身份证明书和本授权委托书。</w:t>
      </w:r>
    </w:p>
    <w:p w14:paraId="1D03E55F"/>
    <w:p w14:paraId="398327E2"/>
    <w:p w14:paraId="779DCFAE"/>
    <w:p w14:paraId="7C354A75"/>
    <w:p w14:paraId="23765B46"/>
    <w:p w14:paraId="0E984E25"/>
    <w:p w14:paraId="03FAA063"/>
    <w:p w14:paraId="40E79942"/>
    <w:p w14:paraId="0FEF41A9"/>
    <w:p w14:paraId="68B6AB36"/>
    <w:p w14:paraId="42D32703"/>
    <w:p w14:paraId="398C6340"/>
    <w:p w14:paraId="59C85AD3"/>
    <w:p w14:paraId="765142EA"/>
    <w:p w14:paraId="26810B49"/>
    <w:p w14:paraId="3F9AC829"/>
    <w:p w14:paraId="2FFDA22A">
      <w:pPr>
        <w:tabs>
          <w:tab w:val="left" w:pos="2756"/>
        </w:tabs>
        <w:jc w:val="left"/>
      </w:pPr>
      <w:r>
        <w:rPr>
          <w:rFonts w:hint="eastAsia"/>
        </w:rPr>
        <w:tab/>
      </w:r>
    </w:p>
    <w:p w14:paraId="3042F3DC">
      <w:pPr>
        <w:pStyle w:val="45"/>
        <w:spacing w:before="99"/>
        <w:rPr>
          <w:rFonts w:ascii="楷体" w:hAnsi="楷体" w:eastAsia="楷体" w:cs="楷体"/>
        </w:rPr>
      </w:pPr>
      <w:bookmarkStart w:id="173" w:name="_Toc211511499"/>
      <w:r>
        <w:rPr>
          <w:rFonts w:hint="eastAsia" w:ascii="Times New Roman" w:hAnsi="Times New Roman" w:eastAsia="宋体" w:cs="Times New Roman"/>
          <w:sz w:val="28"/>
          <w:szCs w:val="28"/>
        </w:rPr>
        <w:t>（十一）资格承诺函</w:t>
      </w:r>
      <w:bookmarkEnd w:id="173"/>
    </w:p>
    <w:p w14:paraId="13920728">
      <w:pPr>
        <w:pStyle w:val="8"/>
        <w:spacing w:before="9"/>
        <w:rPr>
          <w:rFonts w:ascii="楷体" w:hAnsi="楷体" w:eastAsia="楷体" w:cs="楷体"/>
          <w:sz w:val="64"/>
        </w:rPr>
      </w:pPr>
    </w:p>
    <w:p w14:paraId="642940E7">
      <w:pPr>
        <w:spacing w:line="440" w:lineRule="exact"/>
        <w:ind w:firstLine="480" w:firstLineChars="200"/>
        <w:rPr>
          <w:rFonts w:ascii="宋体" w:hAnsi="宋体" w:eastAsia="宋体" w:cs="宋体"/>
          <w:sz w:val="24"/>
        </w:rPr>
      </w:pPr>
      <w:r>
        <w:rPr>
          <w:rFonts w:hint="eastAsia" w:ascii="宋体" w:hAnsi="宋体" w:eastAsia="宋体" w:cs="宋体"/>
          <w:sz w:val="24"/>
        </w:rPr>
        <w:t>致：</w:t>
      </w:r>
      <w:r>
        <w:rPr>
          <w:rFonts w:hint="eastAsia" w:ascii="宋体" w:hAnsi="宋体" w:eastAsia="宋体" w:cs="宋体"/>
          <w:sz w:val="24"/>
          <w:u w:val="single"/>
        </w:rPr>
        <w:tab/>
      </w:r>
      <w:r>
        <w:rPr>
          <w:rFonts w:hint="eastAsia" w:ascii="宋体" w:hAnsi="宋体" w:eastAsia="宋体" w:cs="宋体"/>
          <w:sz w:val="24"/>
          <w:u w:val="single"/>
        </w:rPr>
        <w:t>（采购人、采购代理机构）</w:t>
      </w:r>
      <w:r>
        <w:rPr>
          <w:rFonts w:hint="eastAsia" w:ascii="宋体" w:hAnsi="宋体" w:eastAsia="宋体" w:cs="宋体"/>
          <w:sz w:val="24"/>
          <w:u w:val="single"/>
        </w:rPr>
        <w:tab/>
      </w:r>
    </w:p>
    <w:p w14:paraId="1DABC0AD">
      <w:pPr>
        <w:spacing w:line="440" w:lineRule="exact"/>
        <w:ind w:firstLine="480" w:firstLineChars="200"/>
        <w:rPr>
          <w:rFonts w:ascii="宋体" w:hAnsi="宋体" w:eastAsia="宋体" w:cs="宋体"/>
          <w:sz w:val="24"/>
        </w:rPr>
      </w:pPr>
    </w:p>
    <w:p w14:paraId="610B6FC2">
      <w:pPr>
        <w:spacing w:line="440" w:lineRule="exact"/>
        <w:ind w:firstLine="480" w:firstLineChars="200"/>
        <w:rPr>
          <w:rFonts w:ascii="宋体" w:hAnsi="宋体" w:eastAsia="宋体" w:cs="宋体"/>
          <w:sz w:val="24"/>
        </w:rPr>
      </w:pPr>
      <w:r>
        <w:rPr>
          <w:rFonts w:hint="eastAsia" w:ascii="宋体" w:hAnsi="宋体" w:eastAsia="宋体" w:cs="宋体"/>
          <w:sz w:val="24"/>
        </w:rPr>
        <w:t>我单位参与</w:t>
      </w:r>
      <w:r>
        <w:rPr>
          <w:rFonts w:hint="eastAsia" w:ascii="宋体" w:hAnsi="宋体" w:eastAsia="宋体" w:cs="宋体"/>
          <w:sz w:val="24"/>
          <w:u w:val="single"/>
        </w:rPr>
        <w:tab/>
      </w:r>
      <w:r>
        <w:rPr>
          <w:rFonts w:hint="eastAsia" w:ascii="宋体" w:hAnsi="宋体" w:eastAsia="宋体" w:cs="宋体"/>
          <w:sz w:val="24"/>
          <w:u w:val="single"/>
        </w:rPr>
        <w:t>（项目名称）</w:t>
      </w:r>
      <w:r>
        <w:rPr>
          <w:rFonts w:hint="eastAsia" w:ascii="宋体" w:hAnsi="宋体" w:eastAsia="宋体" w:cs="宋体"/>
          <w:sz w:val="24"/>
          <w:u w:val="single"/>
        </w:rPr>
        <w:tab/>
      </w:r>
      <w:r>
        <w:rPr>
          <w:rFonts w:hint="eastAsia" w:ascii="宋体" w:hAnsi="宋体" w:eastAsia="宋体" w:cs="宋体"/>
          <w:sz w:val="24"/>
          <w:u w:val="single"/>
        </w:rPr>
        <w:t>（项目编号：</w:t>
      </w:r>
      <w:r>
        <w:rPr>
          <w:rFonts w:hint="eastAsia" w:ascii="宋体" w:hAnsi="宋体" w:eastAsia="宋体" w:cs="宋体"/>
          <w:sz w:val="24"/>
          <w:u w:val="single"/>
        </w:rPr>
        <w:tab/>
      </w:r>
      <w:r>
        <w:rPr>
          <w:rFonts w:hint="eastAsia" w:ascii="宋体" w:hAnsi="宋体" w:eastAsia="宋体" w:cs="宋体"/>
          <w:sz w:val="24"/>
          <w:u w:val="single"/>
        </w:rPr>
        <w:t>）</w:t>
      </w:r>
      <w:r>
        <w:rPr>
          <w:rFonts w:hint="eastAsia" w:ascii="宋体" w:hAnsi="宋体" w:eastAsia="宋体" w:cs="宋体"/>
          <w:sz w:val="24"/>
        </w:rPr>
        <w:t>项目的政府采购活动，现承诺如下：</w:t>
      </w:r>
    </w:p>
    <w:p w14:paraId="0ECB4730">
      <w:pPr>
        <w:spacing w:line="440" w:lineRule="exact"/>
        <w:ind w:firstLine="480" w:firstLineChars="200"/>
        <w:rPr>
          <w:rFonts w:ascii="宋体" w:hAnsi="宋体" w:eastAsia="宋体" w:cs="宋体"/>
          <w:sz w:val="24"/>
        </w:rPr>
      </w:pPr>
    </w:p>
    <w:p w14:paraId="2776AA85">
      <w:pPr>
        <w:spacing w:line="440" w:lineRule="exact"/>
        <w:ind w:firstLine="480" w:firstLineChars="200"/>
        <w:rPr>
          <w:rFonts w:ascii="宋体" w:hAnsi="宋体" w:eastAsia="宋体" w:cs="宋体"/>
          <w:sz w:val="24"/>
        </w:rPr>
      </w:pPr>
      <w:r>
        <w:rPr>
          <w:rFonts w:hint="eastAsia" w:ascii="宋体" w:hAnsi="宋体" w:eastAsia="宋体" w:cs="宋体"/>
          <w:sz w:val="24"/>
        </w:rPr>
        <w:t>（1）我方具有独立承担民事责任的能力。</w:t>
      </w:r>
    </w:p>
    <w:p w14:paraId="0E787EFF">
      <w:pPr>
        <w:spacing w:line="440" w:lineRule="exact"/>
        <w:ind w:firstLine="480" w:firstLineChars="200"/>
        <w:rPr>
          <w:rFonts w:ascii="宋体" w:hAnsi="宋体" w:eastAsia="宋体" w:cs="宋体"/>
          <w:sz w:val="24"/>
        </w:rPr>
      </w:pPr>
      <w:r>
        <w:rPr>
          <w:rFonts w:hint="eastAsia" w:ascii="宋体" w:hAnsi="宋体" w:eastAsia="宋体" w:cs="宋体"/>
          <w:sz w:val="24"/>
        </w:rPr>
        <w:t>（2）我方具有良好的商业信誉和健全的财务会计制度。</w:t>
      </w:r>
    </w:p>
    <w:p w14:paraId="3FACA579">
      <w:pPr>
        <w:spacing w:line="440" w:lineRule="exact"/>
        <w:ind w:firstLine="480" w:firstLineChars="200"/>
        <w:rPr>
          <w:rFonts w:ascii="宋体" w:hAnsi="宋体" w:eastAsia="宋体" w:cs="宋体"/>
          <w:sz w:val="24"/>
        </w:rPr>
      </w:pPr>
      <w:r>
        <w:rPr>
          <w:rFonts w:hint="eastAsia" w:ascii="宋体" w:hAnsi="宋体" w:eastAsia="宋体" w:cs="宋体"/>
          <w:sz w:val="24"/>
        </w:rPr>
        <w:t>（3）我方具有履行合同所必需的设备和专业技术能力。</w:t>
      </w:r>
    </w:p>
    <w:p w14:paraId="5D54EC92">
      <w:pPr>
        <w:spacing w:line="440" w:lineRule="exact"/>
        <w:ind w:firstLine="480" w:firstLineChars="200"/>
        <w:rPr>
          <w:rFonts w:ascii="宋体" w:hAnsi="宋体" w:eastAsia="宋体" w:cs="宋体"/>
          <w:sz w:val="24"/>
        </w:rPr>
      </w:pPr>
      <w:r>
        <w:rPr>
          <w:rFonts w:hint="eastAsia" w:ascii="宋体" w:hAnsi="宋体" w:eastAsia="宋体" w:cs="宋体"/>
          <w:sz w:val="24"/>
        </w:rPr>
        <w:t>（4）我方具有依法缴纳税收和社会保障资金的良好记录。</w:t>
      </w:r>
    </w:p>
    <w:p w14:paraId="1E04802C">
      <w:pPr>
        <w:spacing w:line="440" w:lineRule="exact"/>
        <w:ind w:firstLine="480" w:firstLineChars="200"/>
        <w:rPr>
          <w:rFonts w:ascii="宋体" w:hAnsi="宋体" w:eastAsia="宋体" w:cs="宋体"/>
          <w:sz w:val="24"/>
        </w:rPr>
      </w:pPr>
      <w:r>
        <w:rPr>
          <w:rFonts w:hint="eastAsia" w:ascii="宋体" w:hAnsi="宋体" w:eastAsia="宋体" w:cs="宋体"/>
          <w:sz w:val="24"/>
        </w:rPr>
        <w:t>（5）我方参加本项目采购活动前三年内，在经营活动中没有重大违法记录。</w:t>
      </w:r>
    </w:p>
    <w:p w14:paraId="2DB5D760">
      <w:pPr>
        <w:spacing w:line="440" w:lineRule="exact"/>
        <w:ind w:firstLine="480" w:firstLineChars="200"/>
        <w:rPr>
          <w:rFonts w:ascii="宋体" w:hAnsi="宋体" w:eastAsia="宋体" w:cs="宋体"/>
          <w:sz w:val="24"/>
        </w:rPr>
      </w:pPr>
    </w:p>
    <w:p w14:paraId="34144AFA">
      <w:pPr>
        <w:spacing w:line="440" w:lineRule="exact"/>
        <w:ind w:firstLine="480" w:firstLineChars="200"/>
        <w:rPr>
          <w:rFonts w:ascii="宋体" w:hAnsi="宋体" w:eastAsia="宋体" w:cs="宋体"/>
          <w:sz w:val="24"/>
        </w:rPr>
      </w:pPr>
      <w:r>
        <w:rPr>
          <w:rFonts w:hint="eastAsia" w:ascii="宋体" w:hAnsi="宋体" w:eastAsia="宋体" w:cs="宋体"/>
          <w:sz w:val="24"/>
        </w:rPr>
        <w:t>若我单位承诺不实，自愿承担提供虚假材料谋取中标、成交的法律责任。</w:t>
      </w:r>
    </w:p>
    <w:p w14:paraId="098D2F24">
      <w:pPr>
        <w:spacing w:line="440" w:lineRule="exact"/>
        <w:ind w:firstLine="480" w:firstLineChars="200"/>
        <w:rPr>
          <w:rFonts w:ascii="宋体" w:hAnsi="宋体" w:eastAsia="宋体" w:cs="宋体"/>
          <w:sz w:val="24"/>
        </w:rPr>
      </w:pPr>
    </w:p>
    <w:p w14:paraId="08563526">
      <w:pPr>
        <w:spacing w:line="440" w:lineRule="exact"/>
        <w:ind w:firstLine="480" w:firstLineChars="200"/>
        <w:rPr>
          <w:rFonts w:ascii="宋体" w:hAnsi="宋体" w:eastAsia="宋体" w:cs="宋体"/>
          <w:sz w:val="24"/>
        </w:rPr>
      </w:pPr>
    </w:p>
    <w:p w14:paraId="6E41A7B4">
      <w:pPr>
        <w:spacing w:line="440" w:lineRule="exact"/>
        <w:ind w:firstLine="480" w:firstLineChars="200"/>
        <w:rPr>
          <w:rFonts w:ascii="宋体" w:hAnsi="宋体" w:eastAsia="宋体" w:cs="宋体"/>
          <w:sz w:val="24"/>
        </w:rPr>
      </w:pPr>
      <w:r>
        <w:rPr>
          <w:rFonts w:hint="eastAsia" w:ascii="宋体" w:hAnsi="宋体" w:eastAsia="宋体" w:cs="宋体"/>
          <w:sz w:val="24"/>
        </w:rPr>
        <w:t xml:space="preserve">投标（响应）供应商（全称并盖章）： </w:t>
      </w:r>
      <w:r>
        <w:rPr>
          <w:rFonts w:hint="eastAsia" w:ascii="宋体" w:hAnsi="宋体" w:eastAsia="宋体" w:cs="宋体"/>
          <w:sz w:val="24"/>
        </w:rPr>
        <w:tab/>
      </w:r>
    </w:p>
    <w:p w14:paraId="67CB875E">
      <w:pPr>
        <w:spacing w:line="440" w:lineRule="exact"/>
        <w:ind w:firstLine="480" w:firstLineChars="200"/>
        <w:rPr>
          <w:rFonts w:ascii="宋体" w:hAnsi="宋体" w:eastAsia="宋体" w:cs="宋体"/>
          <w:sz w:val="24"/>
        </w:rPr>
      </w:pPr>
      <w:r>
        <w:rPr>
          <w:rFonts w:hint="eastAsia" w:ascii="宋体" w:hAnsi="宋体" w:eastAsia="宋体" w:cs="宋体"/>
          <w:sz w:val="24"/>
        </w:rPr>
        <w:t xml:space="preserve">法定代表人或授权代表（签字或签章）： </w:t>
      </w:r>
      <w:r>
        <w:rPr>
          <w:rFonts w:hint="eastAsia" w:ascii="宋体" w:hAnsi="宋体" w:eastAsia="宋体" w:cs="宋体"/>
          <w:sz w:val="24"/>
        </w:rPr>
        <w:tab/>
      </w:r>
    </w:p>
    <w:p w14:paraId="06151F68">
      <w:pPr>
        <w:spacing w:line="440" w:lineRule="exact"/>
        <w:ind w:firstLine="480" w:firstLineChars="200"/>
        <w:rPr>
          <w:rFonts w:ascii="宋体" w:hAnsi="宋体" w:eastAsia="宋体" w:cs="宋体"/>
          <w:sz w:val="24"/>
        </w:rPr>
      </w:pPr>
      <w:r>
        <w:rPr>
          <w:rFonts w:hint="eastAsia" w:ascii="宋体" w:hAnsi="宋体" w:eastAsia="宋体" w:cs="宋体"/>
          <w:sz w:val="24"/>
        </w:rPr>
        <w:t xml:space="preserve">日期： </w:t>
      </w:r>
      <w:r>
        <w:rPr>
          <w:rFonts w:hint="eastAsia" w:ascii="宋体" w:hAnsi="宋体" w:eastAsia="宋体" w:cs="宋体"/>
          <w:sz w:val="24"/>
        </w:rPr>
        <w:tab/>
      </w:r>
    </w:p>
    <w:p w14:paraId="73628EBA">
      <w:pPr>
        <w:spacing w:line="440" w:lineRule="exact"/>
        <w:ind w:firstLine="480" w:firstLineChars="200"/>
        <w:rPr>
          <w:rFonts w:ascii="宋体" w:hAnsi="宋体" w:eastAsia="宋体" w:cs="宋体"/>
          <w:sz w:val="24"/>
        </w:rPr>
      </w:pPr>
      <w:r>
        <w:rPr>
          <w:rFonts w:hint="eastAsia" w:ascii="宋体" w:hAnsi="宋体" w:eastAsia="宋体" w:cs="宋体"/>
          <w:sz w:val="24"/>
        </w:rPr>
        <w:t>﹍﹍﹍﹍﹍﹍﹍﹍﹍﹍﹍﹍﹍﹍﹍﹍﹍﹍﹍﹍﹍﹍﹍﹍</w:t>
      </w:r>
    </w:p>
    <w:p w14:paraId="270A6D62">
      <w:pPr>
        <w:spacing w:line="440" w:lineRule="exact"/>
        <w:ind w:firstLine="480" w:firstLineChars="200"/>
        <w:rPr>
          <w:rFonts w:ascii="宋体" w:hAnsi="宋体" w:eastAsia="宋体" w:cs="宋体"/>
          <w:sz w:val="24"/>
        </w:rPr>
      </w:pPr>
      <w:r>
        <w:rPr>
          <w:rFonts w:hint="eastAsia" w:ascii="宋体" w:hAnsi="宋体" w:eastAsia="宋体" w:cs="宋体"/>
          <w:sz w:val="24"/>
        </w:rPr>
        <w:t>说明：1.供应商可自行选择是否提供本承诺函，若不提供本承诺函的，应按采购文件要求提供相应的证明材料。</w:t>
      </w:r>
    </w:p>
    <w:p w14:paraId="56130D29">
      <w:pPr>
        <w:spacing w:line="440" w:lineRule="exact"/>
        <w:ind w:firstLine="480" w:firstLineChars="200"/>
        <w:rPr>
          <w:rFonts w:ascii="宋体" w:hAnsi="宋体" w:eastAsia="宋体" w:cs="宋体"/>
          <w:sz w:val="24"/>
        </w:rPr>
      </w:pPr>
      <w:r>
        <w:rPr>
          <w:rFonts w:hint="eastAsia" w:ascii="宋体" w:hAnsi="宋体" w:eastAsia="宋体" w:cs="宋体"/>
          <w:sz w:val="24"/>
        </w:rPr>
        <w:t>2.供应商可删减承诺事项，删减的承诺事项须按采购文件要求提供相</w:t>
      </w:r>
    </w:p>
    <w:p w14:paraId="33ECBF74">
      <w:pPr>
        <w:spacing w:line="440" w:lineRule="exact"/>
        <w:ind w:firstLine="480" w:firstLineChars="200"/>
        <w:sectPr>
          <w:footerReference r:id="rId20" w:type="default"/>
          <w:pgSz w:w="11906" w:h="16838"/>
          <w:pgMar w:top="1440" w:right="1242" w:bottom="1440" w:left="1242" w:header="851" w:footer="992" w:gutter="0"/>
          <w:cols w:space="425" w:num="1"/>
          <w:docGrid w:type="lines" w:linePitch="312" w:charSpace="0"/>
        </w:sectPr>
      </w:pPr>
      <w:r>
        <w:rPr>
          <w:rFonts w:hint="eastAsia" w:ascii="宋体" w:hAnsi="宋体" w:eastAsia="宋体" w:cs="宋体"/>
          <w:sz w:val="24"/>
        </w:rPr>
        <w:t>应的证明材料。比如删去本承诺函第 4 项的，则应按采购文件要求提供依法缴纳税收和社会保障资金的良好记录。</w:t>
      </w:r>
    </w:p>
    <w:p w14:paraId="1C798BA7">
      <w:pPr>
        <w:pStyle w:val="3"/>
        <w:spacing w:line="360" w:lineRule="auto"/>
        <w:jc w:val="center"/>
      </w:pPr>
      <w:bookmarkStart w:id="174" w:name="_Toc211511500"/>
      <w:r>
        <w:rPr>
          <w:rFonts w:hint="eastAsia"/>
        </w:rPr>
        <w:t>二、技术部分</w:t>
      </w:r>
      <w:bookmarkEnd w:id="174"/>
    </w:p>
    <w:p w14:paraId="2D651B8B">
      <w:pPr>
        <w:pStyle w:val="7"/>
        <w:ind w:firstLine="0"/>
      </w:pPr>
    </w:p>
    <w:p w14:paraId="7C363FE5">
      <w:pPr>
        <w:pStyle w:val="7"/>
      </w:pPr>
    </w:p>
    <w:p w14:paraId="4A5ABAD6">
      <w:pPr>
        <w:pStyle w:val="7"/>
        <w:ind w:firstLine="3885" w:firstLineChars="1850"/>
        <w:sectPr>
          <w:headerReference r:id="rId21" w:type="default"/>
          <w:footerReference r:id="rId22" w:type="default"/>
          <w:pgSz w:w="11906" w:h="16838"/>
          <w:pgMar w:top="1440" w:right="1242" w:bottom="1440" w:left="1242" w:header="851" w:footer="992" w:gutter="0"/>
          <w:cols w:space="425" w:num="1"/>
          <w:docGrid w:type="lines" w:linePitch="312" w:charSpace="0"/>
        </w:sectPr>
      </w:pPr>
      <w:r>
        <w:rPr>
          <w:rFonts w:hint="eastAsia"/>
        </w:rPr>
        <w:t>（一）技术方案</w:t>
      </w:r>
    </w:p>
    <w:p w14:paraId="5A0857A1">
      <w:pPr>
        <w:pStyle w:val="3"/>
        <w:spacing w:line="360" w:lineRule="auto"/>
        <w:jc w:val="center"/>
      </w:pPr>
      <w:bookmarkStart w:id="175" w:name="_Toc211511501"/>
      <w:r>
        <w:rPr>
          <w:rFonts w:hint="eastAsia"/>
        </w:rPr>
        <w:t>三、商务部分</w:t>
      </w:r>
      <w:bookmarkEnd w:id="175"/>
    </w:p>
    <w:p w14:paraId="0D16A3A4">
      <w:pPr>
        <w:pStyle w:val="3"/>
        <w:sectPr>
          <w:pgSz w:w="11906" w:h="16838"/>
          <w:pgMar w:top="1440" w:right="1242" w:bottom="1440" w:left="1242" w:header="851" w:footer="992" w:gutter="0"/>
          <w:cols w:space="425" w:num="1"/>
          <w:docGrid w:type="lines" w:linePitch="312" w:charSpace="0"/>
        </w:sectPr>
      </w:pPr>
    </w:p>
    <w:p w14:paraId="3890907D">
      <w:pPr>
        <w:numPr>
          <w:ilvl w:val="0"/>
          <w:numId w:val="4"/>
        </w:numPr>
        <w:jc w:val="center"/>
        <w:outlineLvl w:val="2"/>
        <w:rPr>
          <w:rFonts w:ascii="Times New Roman" w:hAnsi="Times New Roman" w:eastAsia="宋体" w:cs="Times New Roman"/>
          <w:sz w:val="28"/>
          <w:szCs w:val="28"/>
        </w:rPr>
      </w:pPr>
      <w:bookmarkStart w:id="176" w:name="_Toc211511502"/>
      <w:r>
        <w:rPr>
          <w:rFonts w:hint="eastAsia" w:ascii="Times New Roman" w:hAnsi="Times New Roman" w:eastAsia="宋体" w:cs="Times New Roman"/>
          <w:sz w:val="28"/>
          <w:szCs w:val="28"/>
        </w:rPr>
        <w:t>供应商能力</w:t>
      </w:r>
      <w:bookmarkEnd w:id="176"/>
    </w:p>
    <w:p w14:paraId="1D03D0F2">
      <w:pPr>
        <w:pStyle w:val="7"/>
        <w:ind w:firstLine="0"/>
        <w:jc w:val="center"/>
        <w:rPr>
          <w:sz w:val="24"/>
          <w:szCs w:val="24"/>
        </w:rPr>
        <w:sectPr>
          <w:pgSz w:w="11906" w:h="16838"/>
          <w:pgMar w:top="1440" w:right="1242" w:bottom="1440" w:left="1242" w:header="851" w:footer="992" w:gutter="0"/>
          <w:cols w:space="425" w:num="1"/>
          <w:docGrid w:type="lines" w:linePitch="312" w:charSpace="0"/>
        </w:sectPr>
      </w:pPr>
      <w:r>
        <w:rPr>
          <w:rFonts w:hint="eastAsia"/>
          <w:sz w:val="24"/>
          <w:szCs w:val="24"/>
        </w:rPr>
        <w:t>1.供应商能力</w:t>
      </w:r>
    </w:p>
    <w:p w14:paraId="36739CF8">
      <w:pPr>
        <w:numPr>
          <w:ilvl w:val="0"/>
          <w:numId w:val="4"/>
        </w:numPr>
        <w:jc w:val="center"/>
        <w:outlineLvl w:val="2"/>
        <w:rPr>
          <w:rFonts w:ascii="Times New Roman" w:hAnsi="Times New Roman" w:eastAsia="宋体" w:cs="Times New Roman"/>
          <w:sz w:val="28"/>
          <w:szCs w:val="28"/>
        </w:rPr>
      </w:pPr>
      <w:bookmarkStart w:id="177" w:name="_Toc211511503"/>
      <w:r>
        <w:rPr>
          <w:rFonts w:hint="eastAsia" w:ascii="Times New Roman" w:hAnsi="Times New Roman" w:eastAsia="宋体" w:cs="Times New Roman"/>
          <w:sz w:val="28"/>
          <w:szCs w:val="28"/>
        </w:rPr>
        <w:t>经验</w:t>
      </w:r>
      <w:bookmarkEnd w:id="177"/>
    </w:p>
    <w:p w14:paraId="0C59B3C2">
      <w:pPr>
        <w:pStyle w:val="7"/>
        <w:ind w:firstLine="0"/>
        <w:jc w:val="center"/>
        <w:rPr>
          <w:sz w:val="24"/>
          <w:szCs w:val="24"/>
        </w:rPr>
        <w:sectPr>
          <w:pgSz w:w="11906" w:h="16838"/>
          <w:pgMar w:top="1440" w:right="1242" w:bottom="1440" w:left="1242" w:header="851" w:footer="992" w:gutter="0"/>
          <w:cols w:space="425" w:num="1"/>
          <w:docGrid w:type="lines" w:linePitch="312" w:charSpace="0"/>
        </w:sectPr>
      </w:pPr>
      <w:r>
        <w:rPr>
          <w:rFonts w:hint="eastAsia"/>
          <w:sz w:val="24"/>
          <w:szCs w:val="24"/>
        </w:rPr>
        <w:t>2.经验</w:t>
      </w:r>
    </w:p>
    <w:p w14:paraId="764B1700">
      <w:pPr>
        <w:pStyle w:val="54"/>
        <w:jc w:val="center"/>
        <w:outlineLvl w:val="2"/>
        <w:rPr>
          <w:rFonts w:ascii="宋体" w:hAnsi="宋体" w:eastAsia="宋体" w:cs="宋体"/>
          <w:color w:val="000000" w:themeColor="text1"/>
          <w:sz w:val="28"/>
          <w14:textFill>
            <w14:solidFill>
              <w14:schemeClr w14:val="tx1"/>
            </w14:solidFill>
          </w14:textFill>
        </w:rPr>
      </w:pPr>
      <w:bookmarkStart w:id="178" w:name="_Toc2111"/>
    </w:p>
    <w:p w14:paraId="39BE4A6B">
      <w:pPr>
        <w:pStyle w:val="54"/>
        <w:jc w:val="center"/>
        <w:outlineLvl w:val="2"/>
        <w:rPr>
          <w:rFonts w:ascii="宋体" w:hAnsi="宋体" w:eastAsia="宋体" w:cs="宋体"/>
          <w:color w:val="000000" w:themeColor="text1"/>
          <w:sz w:val="28"/>
          <w14:textFill>
            <w14:solidFill>
              <w14:schemeClr w14:val="tx1"/>
            </w14:solidFill>
          </w14:textFill>
        </w:rPr>
      </w:pPr>
    </w:p>
    <w:p w14:paraId="5439C89B">
      <w:pPr>
        <w:pStyle w:val="54"/>
        <w:jc w:val="center"/>
        <w:outlineLvl w:val="2"/>
        <w:rPr>
          <w:rFonts w:ascii="宋体" w:hAnsi="宋体" w:eastAsia="宋体" w:cs="宋体"/>
          <w:color w:val="000000" w:themeColor="text1"/>
          <w:sz w:val="28"/>
          <w14:textFill>
            <w14:solidFill>
              <w14:schemeClr w14:val="tx1"/>
            </w14:solidFill>
          </w14:textFill>
        </w:rPr>
      </w:pPr>
    </w:p>
    <w:p w14:paraId="3C9E0A96">
      <w:pPr>
        <w:pStyle w:val="54"/>
        <w:jc w:val="center"/>
        <w:outlineLvl w:val="2"/>
        <w:rPr>
          <w:rFonts w:ascii="宋体" w:hAnsi="宋体" w:eastAsia="宋体"/>
          <w:color w:val="000000" w:themeColor="text1"/>
          <w14:textFill>
            <w14:solidFill>
              <w14:schemeClr w14:val="tx1"/>
            </w14:solidFill>
          </w14:textFill>
        </w:rPr>
      </w:pPr>
      <w:bookmarkStart w:id="179" w:name="_Toc211511504"/>
      <w:r>
        <w:rPr>
          <w:rFonts w:hint="eastAsia" w:ascii="宋体" w:hAnsi="宋体" w:eastAsia="宋体" w:cs="宋体"/>
          <w:color w:val="000000" w:themeColor="text1"/>
          <w:sz w:val="28"/>
          <w14:textFill>
            <w14:solidFill>
              <w14:schemeClr w14:val="tx1"/>
            </w14:solidFill>
          </w14:textFill>
        </w:rPr>
        <w:t>(三)总监理工程师能力</w:t>
      </w:r>
      <w:bookmarkEnd w:id="178"/>
      <w:bookmarkEnd w:id="179"/>
    </w:p>
    <w:p w14:paraId="1608E600">
      <w:pPr>
        <w:pStyle w:val="55"/>
        <w:rPr>
          <w:rFonts w:ascii="宋体" w:hAnsi="宋体"/>
          <w:color w:val="000000" w:themeColor="text1"/>
          <w14:textFill>
            <w14:solidFill>
              <w14:schemeClr w14:val="tx1"/>
            </w14:solidFill>
          </w14:textFill>
        </w:rPr>
      </w:pPr>
    </w:p>
    <w:tbl>
      <w:tblPr>
        <w:tblStyle w:val="2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818"/>
        <w:gridCol w:w="1425"/>
        <w:gridCol w:w="6444"/>
      </w:tblGrid>
      <w:tr w14:paraId="00ED16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1809" w:type="dxa"/>
            <w:tcBorders>
              <w:top w:val="single" w:color="000000" w:sz="4" w:space="0"/>
              <w:left w:val="single" w:color="000000" w:sz="4" w:space="0"/>
              <w:bottom w:val="single" w:color="000000" w:sz="4" w:space="0"/>
              <w:right w:val="single" w:color="000000" w:sz="4" w:space="0"/>
            </w:tcBorders>
            <w:vAlign w:val="center"/>
          </w:tcPr>
          <w:p w14:paraId="6E6C48BE">
            <w:pPr>
              <w:pStyle w:val="57"/>
              <w:spacing w:line="360" w:lineRule="auto"/>
              <w:ind w:firstLine="482"/>
              <w:rPr>
                <w:rFonts w:ascii="宋体" w:hAnsi="宋体" w:eastAsia="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br w:type="page"/>
            </w:r>
            <w:r>
              <w:rPr>
                <w:rFonts w:hint="eastAsia" w:ascii="宋体" w:hAnsi="宋体" w:eastAsia="宋体"/>
                <w:bCs/>
                <w:color w:val="000000" w:themeColor="text1"/>
                <w:sz w:val="24"/>
                <w14:textFill>
                  <w14:solidFill>
                    <w14:schemeClr w14:val="tx1"/>
                  </w14:solidFill>
                </w14:textFill>
              </w:rPr>
              <w:t>姓名</w:t>
            </w:r>
          </w:p>
        </w:tc>
        <w:tc>
          <w:tcPr>
            <w:tcW w:w="1418" w:type="dxa"/>
            <w:tcBorders>
              <w:top w:val="single" w:color="000000" w:sz="4" w:space="0"/>
              <w:left w:val="single" w:color="000000" w:sz="4" w:space="0"/>
              <w:bottom w:val="single" w:color="000000" w:sz="4" w:space="0"/>
              <w:right w:val="single" w:color="000000" w:sz="4" w:space="0"/>
            </w:tcBorders>
            <w:vAlign w:val="center"/>
          </w:tcPr>
          <w:p w14:paraId="4B2F8A72">
            <w:pPr>
              <w:pStyle w:val="57"/>
              <w:spacing w:line="360" w:lineRule="auto"/>
              <w:ind w:left="-15" w:firstLine="480"/>
              <w:rPr>
                <w:rFonts w:ascii="宋体" w:hAnsi="宋体" w:eastAsia="宋体"/>
                <w:bCs/>
                <w:color w:val="000000" w:themeColor="text1"/>
                <w:sz w:val="24"/>
                <w14:textFill>
                  <w14:solidFill>
                    <w14:schemeClr w14:val="tx1"/>
                  </w14:solidFill>
                </w14:textFill>
              </w:rPr>
            </w:pPr>
          </w:p>
        </w:tc>
        <w:tc>
          <w:tcPr>
            <w:tcW w:w="6411" w:type="dxa"/>
            <w:tcBorders>
              <w:top w:val="single" w:color="000000" w:sz="4" w:space="0"/>
              <w:left w:val="single" w:color="000000" w:sz="4" w:space="0"/>
              <w:bottom w:val="single" w:color="000000" w:sz="4" w:space="0"/>
              <w:right w:val="single" w:color="000000" w:sz="4" w:space="0"/>
            </w:tcBorders>
            <w:vAlign w:val="center"/>
          </w:tcPr>
          <w:p w14:paraId="79DF2721">
            <w:pPr>
              <w:pStyle w:val="57"/>
              <w:spacing w:line="360" w:lineRule="auto"/>
              <w:ind w:left="-15" w:firstLine="480"/>
              <w:rPr>
                <w:rFonts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近3年工作业绩及承担的主要工作</w:t>
            </w:r>
          </w:p>
        </w:tc>
      </w:tr>
      <w:tr w14:paraId="59AED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1809" w:type="dxa"/>
            <w:tcBorders>
              <w:top w:val="single" w:color="000000" w:sz="4" w:space="0"/>
              <w:left w:val="single" w:color="000000" w:sz="4" w:space="0"/>
              <w:bottom w:val="single" w:color="000000" w:sz="4" w:space="0"/>
              <w:right w:val="single" w:color="000000" w:sz="4" w:space="0"/>
            </w:tcBorders>
            <w:vAlign w:val="center"/>
          </w:tcPr>
          <w:p w14:paraId="2285DE22">
            <w:pPr>
              <w:pStyle w:val="57"/>
              <w:spacing w:line="360" w:lineRule="auto"/>
              <w:ind w:firstLine="480"/>
              <w:rPr>
                <w:rFonts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性别</w:t>
            </w:r>
          </w:p>
        </w:tc>
        <w:tc>
          <w:tcPr>
            <w:tcW w:w="1418" w:type="dxa"/>
            <w:tcBorders>
              <w:top w:val="single" w:color="000000" w:sz="4" w:space="0"/>
              <w:left w:val="single" w:color="000000" w:sz="4" w:space="0"/>
              <w:bottom w:val="single" w:color="000000" w:sz="4" w:space="0"/>
              <w:right w:val="single" w:color="000000" w:sz="4" w:space="0"/>
            </w:tcBorders>
            <w:vAlign w:val="center"/>
          </w:tcPr>
          <w:p w14:paraId="04A794D3">
            <w:pPr>
              <w:pStyle w:val="57"/>
              <w:spacing w:line="360" w:lineRule="auto"/>
              <w:ind w:left="-15" w:firstLine="480"/>
              <w:rPr>
                <w:rFonts w:ascii="宋体" w:hAnsi="宋体" w:eastAsia="宋体"/>
                <w:bCs/>
                <w:color w:val="000000" w:themeColor="text1"/>
                <w:sz w:val="24"/>
                <w14:textFill>
                  <w14:solidFill>
                    <w14:schemeClr w14:val="tx1"/>
                  </w14:solidFill>
                </w14:textFill>
              </w:rPr>
            </w:pPr>
          </w:p>
        </w:tc>
        <w:tc>
          <w:tcPr>
            <w:tcW w:w="6411" w:type="dxa"/>
            <w:vMerge w:val="restart"/>
            <w:tcBorders>
              <w:top w:val="single" w:color="000000" w:sz="4" w:space="0"/>
              <w:left w:val="single" w:color="000000" w:sz="4" w:space="0"/>
              <w:bottom w:val="single" w:color="000000" w:sz="4" w:space="0"/>
              <w:right w:val="single" w:color="000000" w:sz="4" w:space="0"/>
            </w:tcBorders>
            <w:vAlign w:val="center"/>
          </w:tcPr>
          <w:p w14:paraId="2C0512CC">
            <w:pPr>
              <w:pStyle w:val="57"/>
              <w:spacing w:line="360" w:lineRule="auto"/>
              <w:ind w:left="-15" w:firstLine="480"/>
              <w:rPr>
                <w:rFonts w:ascii="宋体" w:hAnsi="宋体" w:eastAsia="宋体"/>
                <w:bCs/>
                <w:color w:val="000000" w:themeColor="text1"/>
                <w:sz w:val="24"/>
                <w14:textFill>
                  <w14:solidFill>
                    <w14:schemeClr w14:val="tx1"/>
                  </w14:solidFill>
                </w14:textFill>
              </w:rPr>
            </w:pPr>
          </w:p>
        </w:tc>
      </w:tr>
      <w:tr w14:paraId="671C41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1809" w:type="dxa"/>
            <w:tcBorders>
              <w:top w:val="single" w:color="000000" w:sz="4" w:space="0"/>
              <w:left w:val="single" w:color="000000" w:sz="4" w:space="0"/>
              <w:bottom w:val="single" w:color="000000" w:sz="4" w:space="0"/>
              <w:right w:val="single" w:color="000000" w:sz="4" w:space="0"/>
            </w:tcBorders>
            <w:vAlign w:val="center"/>
          </w:tcPr>
          <w:p w14:paraId="238AE1A7">
            <w:pPr>
              <w:pStyle w:val="57"/>
              <w:spacing w:line="360" w:lineRule="auto"/>
              <w:ind w:firstLine="480"/>
              <w:rPr>
                <w:rFonts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年龄</w:t>
            </w:r>
          </w:p>
        </w:tc>
        <w:tc>
          <w:tcPr>
            <w:tcW w:w="1418" w:type="dxa"/>
            <w:tcBorders>
              <w:top w:val="single" w:color="000000" w:sz="4" w:space="0"/>
              <w:left w:val="single" w:color="000000" w:sz="4" w:space="0"/>
              <w:bottom w:val="single" w:color="000000" w:sz="4" w:space="0"/>
              <w:right w:val="single" w:color="000000" w:sz="4" w:space="0"/>
            </w:tcBorders>
            <w:vAlign w:val="center"/>
          </w:tcPr>
          <w:p w14:paraId="21FF8143">
            <w:pPr>
              <w:pStyle w:val="57"/>
              <w:spacing w:line="360" w:lineRule="auto"/>
              <w:ind w:left="-15" w:firstLine="480"/>
              <w:rPr>
                <w:rFonts w:ascii="宋体" w:hAnsi="宋体" w:eastAsia="宋体"/>
                <w:bCs/>
                <w:color w:val="000000" w:themeColor="text1"/>
                <w:sz w:val="24"/>
                <w14:textFill>
                  <w14:solidFill>
                    <w14:schemeClr w14:val="tx1"/>
                  </w14:solidFill>
                </w14:textFill>
              </w:rPr>
            </w:pPr>
          </w:p>
        </w:tc>
        <w:tc>
          <w:tcPr>
            <w:tcW w:w="6411" w:type="dxa"/>
            <w:vMerge w:val="continue"/>
            <w:tcBorders>
              <w:top w:val="single" w:color="000000" w:sz="4" w:space="0"/>
              <w:left w:val="single" w:color="000000" w:sz="4" w:space="0"/>
              <w:bottom w:val="single" w:color="000000" w:sz="4" w:space="0"/>
              <w:right w:val="single" w:color="000000" w:sz="4" w:space="0"/>
            </w:tcBorders>
            <w:vAlign w:val="center"/>
          </w:tcPr>
          <w:p w14:paraId="620EA6A7">
            <w:pPr>
              <w:widowControl/>
              <w:jc w:val="left"/>
              <w:rPr>
                <w:rFonts w:ascii="宋体" w:hAnsi="宋体"/>
                <w:b/>
                <w:bCs/>
                <w:color w:val="000000" w:themeColor="text1"/>
                <w:sz w:val="24"/>
                <w:szCs w:val="20"/>
                <w14:textFill>
                  <w14:solidFill>
                    <w14:schemeClr w14:val="tx1"/>
                  </w14:solidFill>
                </w14:textFill>
              </w:rPr>
            </w:pPr>
          </w:p>
        </w:tc>
      </w:tr>
      <w:tr w14:paraId="58BE0F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1809" w:type="dxa"/>
            <w:tcBorders>
              <w:top w:val="single" w:color="000000" w:sz="4" w:space="0"/>
              <w:left w:val="single" w:color="000000" w:sz="4" w:space="0"/>
              <w:bottom w:val="single" w:color="000000" w:sz="4" w:space="0"/>
              <w:right w:val="single" w:color="000000" w:sz="4" w:space="0"/>
            </w:tcBorders>
            <w:vAlign w:val="center"/>
          </w:tcPr>
          <w:p w14:paraId="41FCC2B2">
            <w:pPr>
              <w:pStyle w:val="57"/>
              <w:spacing w:line="360" w:lineRule="auto"/>
              <w:ind w:firstLine="480"/>
              <w:rPr>
                <w:rFonts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职称</w:t>
            </w:r>
          </w:p>
        </w:tc>
        <w:tc>
          <w:tcPr>
            <w:tcW w:w="1418" w:type="dxa"/>
            <w:tcBorders>
              <w:top w:val="single" w:color="000000" w:sz="4" w:space="0"/>
              <w:left w:val="single" w:color="000000" w:sz="4" w:space="0"/>
              <w:bottom w:val="single" w:color="000000" w:sz="4" w:space="0"/>
              <w:right w:val="single" w:color="000000" w:sz="4" w:space="0"/>
            </w:tcBorders>
            <w:vAlign w:val="center"/>
          </w:tcPr>
          <w:p w14:paraId="18C609B9">
            <w:pPr>
              <w:pStyle w:val="57"/>
              <w:spacing w:line="360" w:lineRule="auto"/>
              <w:ind w:left="-15" w:firstLine="480"/>
              <w:rPr>
                <w:rFonts w:ascii="宋体" w:hAnsi="宋体" w:eastAsia="宋体"/>
                <w:bCs/>
                <w:color w:val="000000" w:themeColor="text1"/>
                <w:sz w:val="24"/>
                <w14:textFill>
                  <w14:solidFill>
                    <w14:schemeClr w14:val="tx1"/>
                  </w14:solidFill>
                </w14:textFill>
              </w:rPr>
            </w:pPr>
          </w:p>
        </w:tc>
        <w:tc>
          <w:tcPr>
            <w:tcW w:w="6411" w:type="dxa"/>
            <w:vMerge w:val="continue"/>
            <w:tcBorders>
              <w:top w:val="single" w:color="000000" w:sz="4" w:space="0"/>
              <w:left w:val="single" w:color="000000" w:sz="4" w:space="0"/>
              <w:bottom w:val="single" w:color="000000" w:sz="4" w:space="0"/>
              <w:right w:val="single" w:color="000000" w:sz="4" w:space="0"/>
            </w:tcBorders>
            <w:vAlign w:val="center"/>
          </w:tcPr>
          <w:p w14:paraId="006FB6A2">
            <w:pPr>
              <w:widowControl/>
              <w:jc w:val="left"/>
              <w:rPr>
                <w:rFonts w:ascii="宋体" w:hAnsi="宋体"/>
                <w:b/>
                <w:bCs/>
                <w:color w:val="000000" w:themeColor="text1"/>
                <w:sz w:val="24"/>
                <w:szCs w:val="20"/>
                <w14:textFill>
                  <w14:solidFill>
                    <w14:schemeClr w14:val="tx1"/>
                  </w14:solidFill>
                </w14:textFill>
              </w:rPr>
            </w:pPr>
          </w:p>
        </w:tc>
      </w:tr>
      <w:tr w14:paraId="11A481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1809" w:type="dxa"/>
            <w:tcBorders>
              <w:top w:val="single" w:color="000000" w:sz="4" w:space="0"/>
              <w:left w:val="single" w:color="000000" w:sz="4" w:space="0"/>
              <w:bottom w:val="single" w:color="000000" w:sz="4" w:space="0"/>
              <w:right w:val="single" w:color="000000" w:sz="4" w:space="0"/>
            </w:tcBorders>
            <w:vAlign w:val="center"/>
          </w:tcPr>
          <w:p w14:paraId="0E6D8F11">
            <w:pPr>
              <w:pStyle w:val="57"/>
              <w:spacing w:line="360" w:lineRule="auto"/>
              <w:ind w:left="-15" w:firstLine="480"/>
              <w:rPr>
                <w:rFonts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毕业时间</w:t>
            </w:r>
          </w:p>
        </w:tc>
        <w:tc>
          <w:tcPr>
            <w:tcW w:w="1418" w:type="dxa"/>
            <w:tcBorders>
              <w:top w:val="single" w:color="000000" w:sz="4" w:space="0"/>
              <w:left w:val="single" w:color="000000" w:sz="4" w:space="0"/>
              <w:bottom w:val="single" w:color="000000" w:sz="4" w:space="0"/>
              <w:right w:val="single" w:color="000000" w:sz="4" w:space="0"/>
            </w:tcBorders>
            <w:vAlign w:val="center"/>
          </w:tcPr>
          <w:p w14:paraId="1C1624DE">
            <w:pPr>
              <w:pStyle w:val="57"/>
              <w:spacing w:line="360" w:lineRule="auto"/>
              <w:ind w:left="-15" w:firstLine="480"/>
              <w:rPr>
                <w:rFonts w:ascii="宋体" w:hAnsi="宋体" w:eastAsia="宋体"/>
                <w:bCs/>
                <w:color w:val="000000" w:themeColor="text1"/>
                <w:sz w:val="24"/>
                <w14:textFill>
                  <w14:solidFill>
                    <w14:schemeClr w14:val="tx1"/>
                  </w14:solidFill>
                </w14:textFill>
              </w:rPr>
            </w:pPr>
          </w:p>
        </w:tc>
        <w:tc>
          <w:tcPr>
            <w:tcW w:w="6411" w:type="dxa"/>
            <w:vMerge w:val="continue"/>
            <w:tcBorders>
              <w:top w:val="single" w:color="000000" w:sz="4" w:space="0"/>
              <w:left w:val="single" w:color="000000" w:sz="4" w:space="0"/>
              <w:bottom w:val="single" w:color="000000" w:sz="4" w:space="0"/>
              <w:right w:val="single" w:color="000000" w:sz="4" w:space="0"/>
            </w:tcBorders>
            <w:vAlign w:val="center"/>
          </w:tcPr>
          <w:p w14:paraId="18911A23">
            <w:pPr>
              <w:widowControl/>
              <w:jc w:val="left"/>
              <w:rPr>
                <w:rFonts w:ascii="宋体" w:hAnsi="宋体"/>
                <w:b/>
                <w:bCs/>
                <w:color w:val="000000" w:themeColor="text1"/>
                <w:sz w:val="24"/>
                <w:szCs w:val="20"/>
                <w14:textFill>
                  <w14:solidFill>
                    <w14:schemeClr w14:val="tx1"/>
                  </w14:solidFill>
                </w14:textFill>
              </w:rPr>
            </w:pPr>
          </w:p>
        </w:tc>
      </w:tr>
      <w:tr w14:paraId="61016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1809" w:type="dxa"/>
            <w:tcBorders>
              <w:top w:val="single" w:color="000000" w:sz="4" w:space="0"/>
              <w:left w:val="single" w:color="000000" w:sz="4" w:space="0"/>
              <w:bottom w:val="single" w:color="000000" w:sz="4" w:space="0"/>
              <w:right w:val="single" w:color="000000" w:sz="4" w:space="0"/>
            </w:tcBorders>
            <w:vAlign w:val="center"/>
          </w:tcPr>
          <w:p w14:paraId="6EFA0B8D">
            <w:pPr>
              <w:pStyle w:val="57"/>
              <w:spacing w:line="360" w:lineRule="auto"/>
              <w:ind w:left="-15" w:firstLine="480"/>
              <w:rPr>
                <w:rFonts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所学专业</w:t>
            </w:r>
          </w:p>
        </w:tc>
        <w:tc>
          <w:tcPr>
            <w:tcW w:w="1418" w:type="dxa"/>
            <w:tcBorders>
              <w:top w:val="single" w:color="000000" w:sz="4" w:space="0"/>
              <w:left w:val="single" w:color="000000" w:sz="4" w:space="0"/>
              <w:bottom w:val="single" w:color="000000" w:sz="4" w:space="0"/>
              <w:right w:val="single" w:color="000000" w:sz="4" w:space="0"/>
            </w:tcBorders>
            <w:vAlign w:val="center"/>
          </w:tcPr>
          <w:p w14:paraId="099A0E25">
            <w:pPr>
              <w:pStyle w:val="57"/>
              <w:spacing w:line="360" w:lineRule="auto"/>
              <w:ind w:left="-15" w:firstLine="480"/>
              <w:rPr>
                <w:rFonts w:ascii="宋体" w:hAnsi="宋体" w:eastAsia="宋体"/>
                <w:bCs/>
                <w:color w:val="000000" w:themeColor="text1"/>
                <w:sz w:val="24"/>
                <w14:textFill>
                  <w14:solidFill>
                    <w14:schemeClr w14:val="tx1"/>
                  </w14:solidFill>
                </w14:textFill>
              </w:rPr>
            </w:pPr>
          </w:p>
        </w:tc>
        <w:tc>
          <w:tcPr>
            <w:tcW w:w="6411" w:type="dxa"/>
            <w:vMerge w:val="continue"/>
            <w:tcBorders>
              <w:top w:val="single" w:color="000000" w:sz="4" w:space="0"/>
              <w:left w:val="single" w:color="000000" w:sz="4" w:space="0"/>
              <w:bottom w:val="single" w:color="000000" w:sz="4" w:space="0"/>
              <w:right w:val="single" w:color="000000" w:sz="4" w:space="0"/>
            </w:tcBorders>
            <w:vAlign w:val="center"/>
          </w:tcPr>
          <w:p w14:paraId="761D66E6">
            <w:pPr>
              <w:widowControl/>
              <w:jc w:val="left"/>
              <w:rPr>
                <w:rFonts w:ascii="宋体" w:hAnsi="宋体"/>
                <w:b/>
                <w:bCs/>
                <w:color w:val="000000" w:themeColor="text1"/>
                <w:sz w:val="24"/>
                <w:szCs w:val="20"/>
                <w14:textFill>
                  <w14:solidFill>
                    <w14:schemeClr w14:val="tx1"/>
                  </w14:solidFill>
                </w14:textFill>
              </w:rPr>
            </w:pPr>
          </w:p>
        </w:tc>
      </w:tr>
      <w:tr w14:paraId="0A1180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1809" w:type="dxa"/>
            <w:tcBorders>
              <w:top w:val="single" w:color="000000" w:sz="4" w:space="0"/>
              <w:left w:val="single" w:color="000000" w:sz="4" w:space="0"/>
              <w:bottom w:val="single" w:color="000000" w:sz="4" w:space="0"/>
              <w:right w:val="single" w:color="000000" w:sz="4" w:space="0"/>
            </w:tcBorders>
            <w:vAlign w:val="center"/>
          </w:tcPr>
          <w:p w14:paraId="0EE5FE4C">
            <w:pPr>
              <w:pStyle w:val="57"/>
              <w:spacing w:line="360" w:lineRule="auto"/>
              <w:ind w:firstLine="480"/>
              <w:rPr>
                <w:rFonts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学历</w:t>
            </w:r>
          </w:p>
        </w:tc>
        <w:tc>
          <w:tcPr>
            <w:tcW w:w="1418" w:type="dxa"/>
            <w:tcBorders>
              <w:top w:val="single" w:color="000000" w:sz="4" w:space="0"/>
              <w:left w:val="single" w:color="000000" w:sz="4" w:space="0"/>
              <w:bottom w:val="single" w:color="000000" w:sz="4" w:space="0"/>
              <w:right w:val="single" w:color="000000" w:sz="4" w:space="0"/>
            </w:tcBorders>
            <w:vAlign w:val="center"/>
          </w:tcPr>
          <w:p w14:paraId="28596C99">
            <w:pPr>
              <w:pStyle w:val="57"/>
              <w:spacing w:line="360" w:lineRule="auto"/>
              <w:ind w:left="-15" w:firstLine="480"/>
              <w:rPr>
                <w:rFonts w:ascii="宋体" w:hAnsi="宋体" w:eastAsia="宋体"/>
                <w:bCs/>
                <w:color w:val="000000" w:themeColor="text1"/>
                <w:sz w:val="24"/>
                <w14:textFill>
                  <w14:solidFill>
                    <w14:schemeClr w14:val="tx1"/>
                  </w14:solidFill>
                </w14:textFill>
              </w:rPr>
            </w:pPr>
          </w:p>
        </w:tc>
        <w:tc>
          <w:tcPr>
            <w:tcW w:w="6411" w:type="dxa"/>
            <w:vMerge w:val="continue"/>
            <w:tcBorders>
              <w:top w:val="single" w:color="000000" w:sz="4" w:space="0"/>
              <w:left w:val="single" w:color="000000" w:sz="4" w:space="0"/>
              <w:bottom w:val="single" w:color="000000" w:sz="4" w:space="0"/>
              <w:right w:val="single" w:color="000000" w:sz="4" w:space="0"/>
            </w:tcBorders>
            <w:vAlign w:val="center"/>
          </w:tcPr>
          <w:p w14:paraId="09A7EBE6">
            <w:pPr>
              <w:widowControl/>
              <w:jc w:val="left"/>
              <w:rPr>
                <w:rFonts w:ascii="宋体" w:hAnsi="宋体"/>
                <w:b/>
                <w:bCs/>
                <w:color w:val="000000" w:themeColor="text1"/>
                <w:sz w:val="24"/>
                <w:szCs w:val="20"/>
                <w14:textFill>
                  <w14:solidFill>
                    <w14:schemeClr w14:val="tx1"/>
                  </w14:solidFill>
                </w14:textFill>
              </w:rPr>
            </w:pPr>
          </w:p>
        </w:tc>
      </w:tr>
      <w:tr w14:paraId="22645F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1809" w:type="dxa"/>
            <w:tcBorders>
              <w:top w:val="single" w:color="000000" w:sz="4" w:space="0"/>
              <w:left w:val="single" w:color="000000" w:sz="4" w:space="0"/>
              <w:bottom w:val="single" w:color="000000" w:sz="4" w:space="0"/>
              <w:right w:val="single" w:color="000000" w:sz="4" w:space="0"/>
            </w:tcBorders>
            <w:vAlign w:val="center"/>
          </w:tcPr>
          <w:p w14:paraId="5C7C1700">
            <w:pPr>
              <w:pStyle w:val="57"/>
              <w:spacing w:line="360" w:lineRule="auto"/>
              <w:ind w:left="-15" w:firstLine="480"/>
              <w:rPr>
                <w:rFonts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证书名称</w:t>
            </w:r>
          </w:p>
        </w:tc>
        <w:tc>
          <w:tcPr>
            <w:tcW w:w="1418" w:type="dxa"/>
            <w:tcBorders>
              <w:top w:val="single" w:color="000000" w:sz="4" w:space="0"/>
              <w:left w:val="single" w:color="000000" w:sz="4" w:space="0"/>
              <w:bottom w:val="single" w:color="000000" w:sz="4" w:space="0"/>
              <w:right w:val="single" w:color="000000" w:sz="4" w:space="0"/>
            </w:tcBorders>
            <w:vAlign w:val="center"/>
          </w:tcPr>
          <w:p w14:paraId="1F8B4D0B">
            <w:pPr>
              <w:pStyle w:val="57"/>
              <w:spacing w:line="360" w:lineRule="auto"/>
              <w:ind w:left="-15" w:firstLine="480"/>
              <w:rPr>
                <w:rFonts w:ascii="宋体" w:hAnsi="宋体" w:eastAsia="宋体"/>
                <w:bCs/>
                <w:color w:val="000000" w:themeColor="text1"/>
                <w:sz w:val="24"/>
                <w14:textFill>
                  <w14:solidFill>
                    <w14:schemeClr w14:val="tx1"/>
                  </w14:solidFill>
                </w14:textFill>
              </w:rPr>
            </w:pPr>
          </w:p>
        </w:tc>
        <w:tc>
          <w:tcPr>
            <w:tcW w:w="6411" w:type="dxa"/>
            <w:vMerge w:val="continue"/>
            <w:tcBorders>
              <w:top w:val="single" w:color="000000" w:sz="4" w:space="0"/>
              <w:left w:val="single" w:color="000000" w:sz="4" w:space="0"/>
              <w:bottom w:val="single" w:color="000000" w:sz="4" w:space="0"/>
              <w:right w:val="single" w:color="000000" w:sz="4" w:space="0"/>
            </w:tcBorders>
            <w:vAlign w:val="center"/>
          </w:tcPr>
          <w:p w14:paraId="3E176401">
            <w:pPr>
              <w:widowControl/>
              <w:jc w:val="left"/>
              <w:rPr>
                <w:rFonts w:ascii="宋体" w:hAnsi="宋体"/>
                <w:b/>
                <w:bCs/>
                <w:color w:val="000000" w:themeColor="text1"/>
                <w:sz w:val="24"/>
                <w:szCs w:val="20"/>
                <w14:textFill>
                  <w14:solidFill>
                    <w14:schemeClr w14:val="tx1"/>
                  </w14:solidFill>
                </w14:textFill>
              </w:rPr>
            </w:pPr>
          </w:p>
        </w:tc>
      </w:tr>
      <w:tr w14:paraId="6E4112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1809" w:type="dxa"/>
            <w:tcBorders>
              <w:top w:val="single" w:color="000000" w:sz="4" w:space="0"/>
              <w:left w:val="single" w:color="000000" w:sz="4" w:space="0"/>
              <w:bottom w:val="single" w:color="000000" w:sz="4" w:space="0"/>
              <w:right w:val="single" w:color="000000" w:sz="4" w:space="0"/>
            </w:tcBorders>
            <w:vAlign w:val="center"/>
          </w:tcPr>
          <w:p w14:paraId="7FAB6D4A">
            <w:pPr>
              <w:pStyle w:val="57"/>
              <w:spacing w:line="360" w:lineRule="auto"/>
              <w:ind w:left="-15" w:firstLine="480"/>
              <w:rPr>
                <w:rFonts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专业资格</w:t>
            </w:r>
          </w:p>
        </w:tc>
        <w:tc>
          <w:tcPr>
            <w:tcW w:w="1418" w:type="dxa"/>
            <w:tcBorders>
              <w:top w:val="single" w:color="000000" w:sz="4" w:space="0"/>
              <w:left w:val="single" w:color="000000" w:sz="4" w:space="0"/>
              <w:bottom w:val="single" w:color="000000" w:sz="4" w:space="0"/>
              <w:right w:val="single" w:color="000000" w:sz="4" w:space="0"/>
            </w:tcBorders>
            <w:vAlign w:val="center"/>
          </w:tcPr>
          <w:p w14:paraId="6E8CAF69">
            <w:pPr>
              <w:pStyle w:val="57"/>
              <w:spacing w:line="360" w:lineRule="auto"/>
              <w:ind w:left="-15" w:firstLine="480"/>
              <w:rPr>
                <w:rFonts w:ascii="宋体" w:hAnsi="宋体" w:eastAsia="宋体"/>
                <w:bCs/>
                <w:color w:val="000000" w:themeColor="text1"/>
                <w:sz w:val="24"/>
                <w14:textFill>
                  <w14:solidFill>
                    <w14:schemeClr w14:val="tx1"/>
                  </w14:solidFill>
                </w14:textFill>
              </w:rPr>
            </w:pPr>
          </w:p>
        </w:tc>
        <w:tc>
          <w:tcPr>
            <w:tcW w:w="6411" w:type="dxa"/>
            <w:vMerge w:val="continue"/>
            <w:tcBorders>
              <w:top w:val="single" w:color="000000" w:sz="4" w:space="0"/>
              <w:left w:val="single" w:color="000000" w:sz="4" w:space="0"/>
              <w:bottom w:val="single" w:color="000000" w:sz="4" w:space="0"/>
              <w:right w:val="single" w:color="000000" w:sz="4" w:space="0"/>
            </w:tcBorders>
            <w:vAlign w:val="center"/>
          </w:tcPr>
          <w:p w14:paraId="26322EFB">
            <w:pPr>
              <w:widowControl/>
              <w:jc w:val="left"/>
              <w:rPr>
                <w:rFonts w:ascii="宋体" w:hAnsi="宋体"/>
                <w:b/>
                <w:bCs/>
                <w:color w:val="000000" w:themeColor="text1"/>
                <w:sz w:val="24"/>
                <w:szCs w:val="20"/>
                <w14:textFill>
                  <w14:solidFill>
                    <w14:schemeClr w14:val="tx1"/>
                  </w14:solidFill>
                </w14:textFill>
              </w:rPr>
            </w:pPr>
          </w:p>
        </w:tc>
      </w:tr>
      <w:tr w14:paraId="6A4F89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1809" w:type="dxa"/>
            <w:tcBorders>
              <w:top w:val="single" w:color="000000" w:sz="4" w:space="0"/>
              <w:left w:val="single" w:color="000000" w:sz="4" w:space="0"/>
              <w:bottom w:val="single" w:color="000000" w:sz="4" w:space="0"/>
              <w:right w:val="single" w:color="000000" w:sz="4" w:space="0"/>
            </w:tcBorders>
            <w:vAlign w:val="center"/>
          </w:tcPr>
          <w:p w14:paraId="5180BDDB">
            <w:pPr>
              <w:pStyle w:val="57"/>
              <w:spacing w:line="360" w:lineRule="auto"/>
              <w:ind w:left="-15" w:firstLine="480"/>
              <w:rPr>
                <w:rFonts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联系电话</w:t>
            </w:r>
          </w:p>
        </w:tc>
        <w:tc>
          <w:tcPr>
            <w:tcW w:w="1418" w:type="dxa"/>
            <w:tcBorders>
              <w:top w:val="single" w:color="000000" w:sz="4" w:space="0"/>
              <w:left w:val="single" w:color="000000" w:sz="4" w:space="0"/>
              <w:bottom w:val="single" w:color="000000" w:sz="4" w:space="0"/>
              <w:right w:val="single" w:color="000000" w:sz="4" w:space="0"/>
            </w:tcBorders>
            <w:vAlign w:val="center"/>
          </w:tcPr>
          <w:p w14:paraId="530062C8">
            <w:pPr>
              <w:pStyle w:val="57"/>
              <w:spacing w:line="360" w:lineRule="auto"/>
              <w:ind w:left="-15" w:firstLine="480"/>
              <w:rPr>
                <w:rFonts w:ascii="宋体" w:hAnsi="宋体" w:eastAsia="宋体"/>
                <w:bCs/>
                <w:color w:val="000000" w:themeColor="text1"/>
                <w:sz w:val="24"/>
                <w14:textFill>
                  <w14:solidFill>
                    <w14:schemeClr w14:val="tx1"/>
                  </w14:solidFill>
                </w14:textFill>
              </w:rPr>
            </w:pPr>
          </w:p>
        </w:tc>
        <w:tc>
          <w:tcPr>
            <w:tcW w:w="6411" w:type="dxa"/>
            <w:vMerge w:val="continue"/>
            <w:tcBorders>
              <w:top w:val="single" w:color="000000" w:sz="4" w:space="0"/>
              <w:left w:val="single" w:color="000000" w:sz="4" w:space="0"/>
              <w:bottom w:val="single" w:color="000000" w:sz="4" w:space="0"/>
              <w:right w:val="single" w:color="000000" w:sz="4" w:space="0"/>
            </w:tcBorders>
            <w:vAlign w:val="center"/>
          </w:tcPr>
          <w:p w14:paraId="50DA85E5">
            <w:pPr>
              <w:widowControl/>
              <w:jc w:val="left"/>
              <w:rPr>
                <w:rFonts w:ascii="宋体" w:hAnsi="宋体"/>
                <w:b/>
                <w:bCs/>
                <w:color w:val="000000" w:themeColor="text1"/>
                <w:sz w:val="24"/>
                <w:szCs w:val="20"/>
                <w14:textFill>
                  <w14:solidFill>
                    <w14:schemeClr w14:val="tx1"/>
                  </w14:solidFill>
                </w14:textFill>
              </w:rPr>
            </w:pPr>
          </w:p>
        </w:tc>
      </w:tr>
      <w:tr w14:paraId="02AB2D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5" w:hRule="atLeast"/>
          <w:jc w:val="center"/>
        </w:trPr>
        <w:tc>
          <w:tcPr>
            <w:tcW w:w="1809" w:type="dxa"/>
            <w:tcBorders>
              <w:top w:val="single" w:color="000000" w:sz="4" w:space="0"/>
              <w:left w:val="single" w:color="000000" w:sz="4" w:space="0"/>
              <w:bottom w:val="single" w:color="000000" w:sz="4" w:space="0"/>
              <w:right w:val="single" w:color="000000" w:sz="4" w:space="0"/>
            </w:tcBorders>
            <w:vAlign w:val="center"/>
          </w:tcPr>
          <w:p w14:paraId="086CB887">
            <w:pPr>
              <w:pStyle w:val="57"/>
              <w:spacing w:line="360" w:lineRule="auto"/>
              <w:ind w:left="-15" w:firstLine="0"/>
              <w:rPr>
                <w:rFonts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曾担任项目主要负责人的项目</w:t>
            </w:r>
          </w:p>
        </w:tc>
        <w:tc>
          <w:tcPr>
            <w:tcW w:w="7829" w:type="dxa"/>
            <w:gridSpan w:val="2"/>
            <w:tcBorders>
              <w:top w:val="single" w:color="000000" w:sz="4" w:space="0"/>
              <w:left w:val="single" w:color="000000" w:sz="4" w:space="0"/>
              <w:bottom w:val="single" w:color="000000" w:sz="4" w:space="0"/>
              <w:right w:val="single" w:color="000000" w:sz="4" w:space="0"/>
            </w:tcBorders>
            <w:vAlign w:val="center"/>
          </w:tcPr>
          <w:p w14:paraId="4DEFC6D1">
            <w:pPr>
              <w:pStyle w:val="57"/>
              <w:spacing w:line="360" w:lineRule="auto"/>
              <w:ind w:left="-15" w:firstLine="480"/>
              <w:rPr>
                <w:rFonts w:ascii="宋体" w:hAnsi="宋体" w:eastAsia="宋体"/>
                <w:bCs/>
                <w:color w:val="000000" w:themeColor="text1"/>
                <w:sz w:val="24"/>
                <w14:textFill>
                  <w14:solidFill>
                    <w14:schemeClr w14:val="tx1"/>
                  </w14:solidFill>
                </w14:textFill>
              </w:rPr>
            </w:pPr>
          </w:p>
        </w:tc>
      </w:tr>
    </w:tbl>
    <w:p w14:paraId="7BFC43DC">
      <w:pPr>
        <w:pStyle w:val="55"/>
        <w:widowControl/>
        <w:jc w:val="left"/>
        <w:rPr>
          <w:rFonts w:ascii="宋体" w:hAnsi="宋体"/>
          <w:b/>
          <w:color w:val="000000" w:themeColor="text1"/>
          <w:sz w:val="24"/>
          <w14:textFill>
            <w14:solidFill>
              <w14:schemeClr w14:val="tx1"/>
            </w14:solidFill>
          </w14:textFill>
        </w:rPr>
      </w:pPr>
    </w:p>
    <w:p w14:paraId="17C44504">
      <w:pPr>
        <w:pStyle w:val="57"/>
        <w:spacing w:line="360" w:lineRule="auto"/>
        <w:ind w:firstLine="482"/>
        <w:rPr>
          <w:rFonts w:ascii="宋体" w:hAnsi="宋体" w:eastAsia="宋体"/>
          <w:bCs/>
          <w:color w:val="000000" w:themeColor="text1"/>
          <w:sz w:val="24"/>
          <w:u w:val="single"/>
          <w14:textFill>
            <w14:solidFill>
              <w14:schemeClr w14:val="tx1"/>
            </w14:solidFill>
          </w14:textFill>
        </w:rPr>
      </w:pPr>
      <w:r>
        <w:rPr>
          <w:rFonts w:hint="eastAsia" w:ascii="宋体" w:hAnsi="宋体" w:eastAsia="宋体"/>
          <w:b w:val="0"/>
          <w:bCs/>
          <w:color w:val="000000" w:themeColor="text1"/>
          <w:sz w:val="24"/>
          <w14:textFill>
            <w14:solidFill>
              <w14:schemeClr w14:val="tx1"/>
            </w14:solidFill>
          </w14:textFill>
        </w:rPr>
        <w:t>注：</w:t>
      </w:r>
      <w:r>
        <w:rPr>
          <w:rFonts w:hint="eastAsia" w:ascii="宋体" w:hAnsi="宋体" w:eastAsia="宋体"/>
          <w:bCs/>
          <w:color w:val="000000" w:themeColor="text1"/>
          <w:sz w:val="24"/>
          <w14:textFill>
            <w14:solidFill>
              <w14:schemeClr w14:val="tx1"/>
            </w14:solidFill>
          </w14:textFill>
        </w:rPr>
        <w:t>1、</w:t>
      </w:r>
      <w:r>
        <w:rPr>
          <w:rFonts w:hint="eastAsia" w:ascii="宋体" w:hAnsi="宋体" w:eastAsia="宋体"/>
          <w:bCs/>
          <w:color w:val="000000" w:themeColor="text1"/>
          <w:sz w:val="24"/>
          <w:u w:val="single"/>
          <w14:textFill>
            <w14:solidFill>
              <w14:schemeClr w14:val="tx1"/>
            </w14:solidFill>
          </w14:textFill>
        </w:rPr>
        <w:t>总监理工程师具有资格证书的，应在本栏目</w:t>
      </w:r>
      <w:r>
        <w:rPr>
          <w:rFonts w:hint="eastAsia" w:ascii="宋体" w:hAnsi="宋体" w:eastAsia="宋体"/>
          <w:color w:val="000000" w:themeColor="text1"/>
          <w:sz w:val="24"/>
          <w:u w:val="single"/>
          <w14:textFill>
            <w14:solidFill>
              <w14:schemeClr w14:val="tx1"/>
            </w14:solidFill>
          </w14:textFill>
        </w:rPr>
        <w:t>提交相关证书复印件。</w:t>
      </w:r>
    </w:p>
    <w:p w14:paraId="5F9858D5">
      <w:pPr>
        <w:pStyle w:val="57"/>
        <w:spacing w:line="360" w:lineRule="auto"/>
        <w:ind w:firstLine="964"/>
        <w:rPr>
          <w:rFonts w:ascii="宋体" w:hAnsi="宋体" w:eastAsia="宋体"/>
          <w:bCs/>
          <w:color w:val="000000" w:themeColor="text1"/>
          <w:sz w:val="24"/>
          <w:u w:val="single"/>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2、</w:t>
      </w:r>
      <w:r>
        <w:rPr>
          <w:rFonts w:hint="eastAsia" w:ascii="宋体" w:hAnsi="宋体" w:eastAsia="宋体"/>
          <w:bCs/>
          <w:color w:val="000000" w:themeColor="text1"/>
          <w:sz w:val="24"/>
          <w:u w:val="single"/>
          <w14:textFill>
            <w14:solidFill>
              <w14:schemeClr w14:val="tx1"/>
            </w14:solidFill>
          </w14:textFill>
        </w:rPr>
        <w:t>列入本表人员如要更换，需经采购人同意。擅自更换属违约行为。</w:t>
      </w:r>
    </w:p>
    <w:p w14:paraId="7294CDED">
      <w:pPr>
        <w:pStyle w:val="57"/>
        <w:spacing w:line="360" w:lineRule="auto"/>
        <w:ind w:firstLine="964"/>
        <w:rPr>
          <w:rFonts w:hint="eastAsia" w:ascii="宋体" w:hAnsi="宋体" w:eastAsia="宋体"/>
          <w:bCs/>
          <w:color w:val="000000" w:themeColor="text1"/>
          <w:sz w:val="24"/>
          <w:u w:val="single"/>
          <w14:textFill>
            <w14:solidFill>
              <w14:schemeClr w14:val="tx1"/>
            </w14:solidFill>
          </w14:textFill>
        </w:rPr>
      </w:pPr>
      <w:bookmarkStart w:id="187" w:name="_GoBack"/>
      <w:r>
        <w:rPr>
          <w:rFonts w:hint="eastAsia" w:ascii="宋体" w:hAnsi="宋体" w:eastAsia="宋体"/>
          <w:bCs/>
          <w:color w:val="000000" w:themeColor="text1"/>
          <w:sz w:val="24"/>
          <w:u w:val="single"/>
          <w14:textFill>
            <w14:solidFill>
              <w14:schemeClr w14:val="tx1"/>
            </w14:solidFill>
          </w14:textFill>
        </w:rPr>
        <w:t>3、总监理工程师须提供近半年（任意一个月）供应商为其缴纳社会保险的证明材料。</w:t>
      </w:r>
    </w:p>
    <w:bookmarkEnd w:id="187"/>
    <w:p w14:paraId="1E5A7D90">
      <w:pPr>
        <w:pStyle w:val="58"/>
        <w:jc w:val="center"/>
        <w:outlineLvl w:val="2"/>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br w:type="page"/>
      </w:r>
      <w:bookmarkStart w:id="180" w:name="_Toc14893"/>
    </w:p>
    <w:p w14:paraId="7463FCB5">
      <w:pPr>
        <w:pStyle w:val="58"/>
        <w:jc w:val="center"/>
        <w:outlineLvl w:val="2"/>
        <w:rPr>
          <w:rFonts w:ascii="宋体" w:hAnsi="宋体"/>
          <w:color w:val="000000" w:themeColor="text1"/>
          <w14:textFill>
            <w14:solidFill>
              <w14:schemeClr w14:val="tx1"/>
            </w14:solidFill>
          </w14:textFill>
        </w:rPr>
      </w:pPr>
    </w:p>
    <w:p w14:paraId="3AE294BB">
      <w:pPr>
        <w:pStyle w:val="58"/>
        <w:jc w:val="center"/>
        <w:outlineLvl w:val="2"/>
        <w:rPr>
          <w:rFonts w:ascii="宋体" w:hAnsi="宋体"/>
          <w:color w:val="000000" w:themeColor="text1"/>
          <w14:textFill>
            <w14:solidFill>
              <w14:schemeClr w14:val="tx1"/>
            </w14:solidFill>
          </w14:textFill>
        </w:rPr>
      </w:pPr>
    </w:p>
    <w:p w14:paraId="21708FD8">
      <w:pPr>
        <w:pStyle w:val="58"/>
        <w:jc w:val="center"/>
        <w:outlineLvl w:val="2"/>
        <w:rPr>
          <w:rFonts w:ascii="宋体" w:hAnsi="宋体"/>
          <w:color w:val="000000" w:themeColor="text1"/>
          <w14:textFill>
            <w14:solidFill>
              <w14:schemeClr w14:val="tx1"/>
            </w14:solidFill>
          </w14:textFill>
        </w:rPr>
      </w:pPr>
    </w:p>
    <w:p w14:paraId="47D1C510">
      <w:pPr>
        <w:pStyle w:val="58"/>
        <w:jc w:val="center"/>
        <w:outlineLvl w:val="2"/>
        <w:rPr>
          <w:rFonts w:ascii="宋体" w:hAnsi="宋体" w:eastAsia="宋体" w:cs="宋体"/>
          <w:color w:val="000000" w:themeColor="text1"/>
          <w:sz w:val="28"/>
          <w14:textFill>
            <w14:solidFill>
              <w14:schemeClr w14:val="tx1"/>
            </w14:solidFill>
          </w14:textFill>
        </w:rPr>
      </w:pPr>
    </w:p>
    <w:p w14:paraId="51ACE22D">
      <w:pPr>
        <w:pStyle w:val="58"/>
        <w:jc w:val="center"/>
        <w:outlineLvl w:val="2"/>
        <w:rPr>
          <w:rFonts w:ascii="宋体" w:hAnsi="宋体" w:eastAsia="宋体"/>
          <w:color w:val="000000" w:themeColor="text1"/>
          <w14:textFill>
            <w14:solidFill>
              <w14:schemeClr w14:val="tx1"/>
            </w14:solidFill>
          </w14:textFill>
        </w:rPr>
      </w:pPr>
      <w:bookmarkStart w:id="181" w:name="_Toc211511505"/>
      <w:r>
        <w:rPr>
          <w:rFonts w:hint="eastAsia" w:ascii="宋体" w:hAnsi="宋体" w:eastAsia="宋体" w:cs="宋体"/>
          <w:color w:val="000000" w:themeColor="text1"/>
          <w:sz w:val="28"/>
          <w14:textFill>
            <w14:solidFill>
              <w14:schemeClr w14:val="tx1"/>
            </w14:solidFill>
          </w14:textFill>
        </w:rPr>
        <w:t>(四)项目组成人员</w:t>
      </w:r>
      <w:bookmarkEnd w:id="180"/>
      <w:bookmarkEnd w:id="181"/>
    </w:p>
    <w:tbl>
      <w:tblPr>
        <w:tblStyle w:val="2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77"/>
        <w:gridCol w:w="922"/>
        <w:gridCol w:w="1578"/>
        <w:gridCol w:w="1446"/>
        <w:gridCol w:w="1974"/>
        <w:gridCol w:w="1972"/>
        <w:gridCol w:w="918"/>
      </w:tblGrid>
      <w:tr w14:paraId="7C06C3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rPr>
        <w:tc>
          <w:tcPr>
            <w:tcW w:w="413" w:type="dxa"/>
            <w:tcBorders>
              <w:top w:val="single" w:color="000000" w:sz="4" w:space="0"/>
              <w:left w:val="single" w:color="000000" w:sz="4" w:space="0"/>
              <w:bottom w:val="single" w:color="000000" w:sz="4" w:space="0"/>
              <w:right w:val="single" w:color="000000" w:sz="4" w:space="0"/>
            </w:tcBorders>
          </w:tcPr>
          <w:p w14:paraId="706DB388">
            <w:pPr>
              <w:pStyle w:val="59"/>
              <w:spacing w:line="360" w:lineRule="auto"/>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序号</w:t>
            </w:r>
          </w:p>
        </w:tc>
        <w:tc>
          <w:tcPr>
            <w:tcW w:w="480" w:type="dxa"/>
            <w:tcBorders>
              <w:top w:val="single" w:color="000000" w:sz="4" w:space="0"/>
              <w:left w:val="single" w:color="000000" w:sz="4" w:space="0"/>
              <w:bottom w:val="single" w:color="000000" w:sz="4" w:space="0"/>
              <w:right w:val="single" w:color="000000" w:sz="4" w:space="0"/>
            </w:tcBorders>
          </w:tcPr>
          <w:p w14:paraId="3B8D6AC8">
            <w:pPr>
              <w:pStyle w:val="59"/>
              <w:spacing w:line="360" w:lineRule="auto"/>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姓名</w:t>
            </w:r>
          </w:p>
        </w:tc>
        <w:tc>
          <w:tcPr>
            <w:tcW w:w="822" w:type="dxa"/>
            <w:tcBorders>
              <w:top w:val="single" w:color="000000" w:sz="4" w:space="0"/>
              <w:left w:val="single" w:color="000000" w:sz="4" w:space="0"/>
              <w:bottom w:val="single" w:color="000000" w:sz="4" w:space="0"/>
              <w:right w:val="single" w:color="000000" w:sz="4" w:space="0"/>
            </w:tcBorders>
          </w:tcPr>
          <w:p w14:paraId="3B465698">
            <w:pPr>
              <w:pStyle w:val="59"/>
              <w:spacing w:line="360" w:lineRule="auto"/>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身份证号</w:t>
            </w:r>
          </w:p>
        </w:tc>
        <w:tc>
          <w:tcPr>
            <w:tcW w:w="753" w:type="dxa"/>
            <w:tcBorders>
              <w:top w:val="single" w:color="000000" w:sz="4" w:space="0"/>
              <w:left w:val="single" w:color="000000" w:sz="4" w:space="0"/>
              <w:bottom w:val="single" w:color="000000" w:sz="4" w:space="0"/>
              <w:right w:val="single" w:color="000000" w:sz="4" w:space="0"/>
            </w:tcBorders>
          </w:tcPr>
          <w:p w14:paraId="1474DA31">
            <w:pPr>
              <w:pStyle w:val="59"/>
              <w:spacing w:line="360" w:lineRule="auto"/>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人员类别</w:t>
            </w:r>
          </w:p>
        </w:tc>
        <w:tc>
          <w:tcPr>
            <w:tcW w:w="1028" w:type="dxa"/>
            <w:tcBorders>
              <w:top w:val="single" w:color="000000" w:sz="4" w:space="0"/>
              <w:left w:val="single" w:color="000000" w:sz="4" w:space="0"/>
              <w:bottom w:val="single" w:color="000000" w:sz="4" w:space="0"/>
              <w:right w:val="single" w:color="000000" w:sz="4" w:space="0"/>
            </w:tcBorders>
          </w:tcPr>
          <w:p w14:paraId="61E33C87">
            <w:pPr>
              <w:pStyle w:val="59"/>
              <w:spacing w:line="360" w:lineRule="auto"/>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技术证书、级别</w:t>
            </w:r>
          </w:p>
        </w:tc>
        <w:tc>
          <w:tcPr>
            <w:tcW w:w="1027" w:type="dxa"/>
            <w:tcBorders>
              <w:top w:val="single" w:color="000000" w:sz="4" w:space="0"/>
              <w:left w:val="single" w:color="000000" w:sz="4" w:space="0"/>
              <w:bottom w:val="single" w:color="000000" w:sz="4" w:space="0"/>
              <w:right w:val="single" w:color="000000" w:sz="4" w:space="0"/>
            </w:tcBorders>
          </w:tcPr>
          <w:p w14:paraId="6595DFC2">
            <w:pPr>
              <w:pStyle w:val="59"/>
              <w:spacing w:line="360" w:lineRule="auto"/>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相关工作经验</w:t>
            </w:r>
          </w:p>
        </w:tc>
        <w:tc>
          <w:tcPr>
            <w:tcW w:w="478" w:type="dxa"/>
            <w:tcBorders>
              <w:top w:val="single" w:color="000000" w:sz="4" w:space="0"/>
              <w:left w:val="single" w:color="000000" w:sz="4" w:space="0"/>
              <w:bottom w:val="single" w:color="000000" w:sz="4" w:space="0"/>
              <w:right w:val="single" w:color="000000" w:sz="4" w:space="0"/>
            </w:tcBorders>
          </w:tcPr>
          <w:p w14:paraId="41B5F1B7">
            <w:pPr>
              <w:pStyle w:val="59"/>
              <w:spacing w:line="360" w:lineRule="auto"/>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备注</w:t>
            </w:r>
          </w:p>
        </w:tc>
      </w:tr>
      <w:tr w14:paraId="1221E6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3" w:type="dxa"/>
            <w:tcBorders>
              <w:top w:val="single" w:color="000000" w:sz="4" w:space="0"/>
              <w:left w:val="single" w:color="000000" w:sz="4" w:space="0"/>
              <w:bottom w:val="single" w:color="000000" w:sz="4" w:space="0"/>
              <w:right w:val="single" w:color="000000" w:sz="4" w:space="0"/>
            </w:tcBorders>
          </w:tcPr>
          <w:p w14:paraId="2A987CF9">
            <w:pPr>
              <w:pStyle w:val="59"/>
              <w:spacing w:line="360" w:lineRule="auto"/>
              <w:rPr>
                <w:rFonts w:ascii="宋体" w:hAnsi="宋体"/>
                <w:b/>
                <w:color w:val="000000" w:themeColor="text1"/>
                <w:sz w:val="24"/>
                <w14:textFill>
                  <w14:solidFill>
                    <w14:schemeClr w14:val="tx1"/>
                  </w14:solidFill>
                </w14:textFill>
              </w:rPr>
            </w:pPr>
          </w:p>
        </w:tc>
        <w:tc>
          <w:tcPr>
            <w:tcW w:w="480" w:type="dxa"/>
            <w:tcBorders>
              <w:top w:val="single" w:color="000000" w:sz="4" w:space="0"/>
              <w:left w:val="single" w:color="000000" w:sz="4" w:space="0"/>
              <w:bottom w:val="single" w:color="000000" w:sz="4" w:space="0"/>
              <w:right w:val="single" w:color="000000" w:sz="4" w:space="0"/>
            </w:tcBorders>
          </w:tcPr>
          <w:p w14:paraId="36FF36BF">
            <w:pPr>
              <w:pStyle w:val="59"/>
              <w:spacing w:line="360" w:lineRule="auto"/>
              <w:rPr>
                <w:rFonts w:ascii="宋体" w:hAnsi="宋体"/>
                <w:b/>
                <w:color w:val="000000" w:themeColor="text1"/>
                <w:sz w:val="24"/>
                <w14:textFill>
                  <w14:solidFill>
                    <w14:schemeClr w14:val="tx1"/>
                  </w14:solidFill>
                </w14:textFill>
              </w:rPr>
            </w:pPr>
          </w:p>
        </w:tc>
        <w:tc>
          <w:tcPr>
            <w:tcW w:w="822" w:type="dxa"/>
            <w:tcBorders>
              <w:top w:val="single" w:color="000000" w:sz="4" w:space="0"/>
              <w:left w:val="single" w:color="000000" w:sz="4" w:space="0"/>
              <w:bottom w:val="single" w:color="000000" w:sz="4" w:space="0"/>
              <w:right w:val="single" w:color="000000" w:sz="4" w:space="0"/>
            </w:tcBorders>
          </w:tcPr>
          <w:p w14:paraId="77E41281">
            <w:pPr>
              <w:pStyle w:val="59"/>
              <w:spacing w:line="360" w:lineRule="auto"/>
              <w:rPr>
                <w:rFonts w:ascii="宋体" w:hAnsi="宋体"/>
                <w:b/>
                <w:color w:val="000000" w:themeColor="text1"/>
                <w:sz w:val="24"/>
                <w14:textFill>
                  <w14:solidFill>
                    <w14:schemeClr w14:val="tx1"/>
                  </w14:solidFill>
                </w14:textFill>
              </w:rPr>
            </w:pPr>
          </w:p>
        </w:tc>
        <w:tc>
          <w:tcPr>
            <w:tcW w:w="753" w:type="dxa"/>
            <w:tcBorders>
              <w:top w:val="single" w:color="000000" w:sz="4" w:space="0"/>
              <w:left w:val="single" w:color="000000" w:sz="4" w:space="0"/>
              <w:bottom w:val="single" w:color="000000" w:sz="4" w:space="0"/>
              <w:right w:val="single" w:color="000000" w:sz="4" w:space="0"/>
            </w:tcBorders>
          </w:tcPr>
          <w:p w14:paraId="03A6C5E5">
            <w:pPr>
              <w:pStyle w:val="59"/>
              <w:spacing w:line="360" w:lineRule="auto"/>
              <w:rPr>
                <w:rFonts w:ascii="宋体" w:hAnsi="宋体"/>
                <w:b/>
                <w:color w:val="000000" w:themeColor="text1"/>
                <w:sz w:val="24"/>
                <w14:textFill>
                  <w14:solidFill>
                    <w14:schemeClr w14:val="tx1"/>
                  </w14:solidFill>
                </w14:textFill>
              </w:rPr>
            </w:pPr>
          </w:p>
        </w:tc>
        <w:tc>
          <w:tcPr>
            <w:tcW w:w="1028" w:type="dxa"/>
            <w:tcBorders>
              <w:top w:val="single" w:color="000000" w:sz="4" w:space="0"/>
              <w:left w:val="single" w:color="000000" w:sz="4" w:space="0"/>
              <w:bottom w:val="single" w:color="000000" w:sz="4" w:space="0"/>
              <w:right w:val="single" w:color="000000" w:sz="4" w:space="0"/>
            </w:tcBorders>
          </w:tcPr>
          <w:p w14:paraId="30028C61">
            <w:pPr>
              <w:pStyle w:val="59"/>
              <w:spacing w:line="360" w:lineRule="auto"/>
              <w:rPr>
                <w:rFonts w:ascii="宋体" w:hAnsi="宋体"/>
                <w:b/>
                <w:color w:val="000000" w:themeColor="text1"/>
                <w:sz w:val="24"/>
                <w14:textFill>
                  <w14:solidFill>
                    <w14:schemeClr w14:val="tx1"/>
                  </w14:solidFill>
                </w14:textFill>
              </w:rPr>
            </w:pPr>
          </w:p>
        </w:tc>
        <w:tc>
          <w:tcPr>
            <w:tcW w:w="1027" w:type="dxa"/>
            <w:tcBorders>
              <w:top w:val="single" w:color="000000" w:sz="4" w:space="0"/>
              <w:left w:val="single" w:color="000000" w:sz="4" w:space="0"/>
              <w:bottom w:val="single" w:color="000000" w:sz="4" w:space="0"/>
              <w:right w:val="single" w:color="000000" w:sz="4" w:space="0"/>
            </w:tcBorders>
          </w:tcPr>
          <w:p w14:paraId="6CD022D4">
            <w:pPr>
              <w:pStyle w:val="59"/>
              <w:spacing w:line="360" w:lineRule="auto"/>
              <w:rPr>
                <w:rFonts w:ascii="宋体" w:hAnsi="宋体"/>
                <w:b/>
                <w:color w:val="000000" w:themeColor="text1"/>
                <w:sz w:val="24"/>
                <w14:textFill>
                  <w14:solidFill>
                    <w14:schemeClr w14:val="tx1"/>
                  </w14:solidFill>
                </w14:textFill>
              </w:rPr>
            </w:pPr>
          </w:p>
        </w:tc>
        <w:tc>
          <w:tcPr>
            <w:tcW w:w="478" w:type="dxa"/>
            <w:tcBorders>
              <w:top w:val="single" w:color="000000" w:sz="4" w:space="0"/>
              <w:left w:val="single" w:color="000000" w:sz="4" w:space="0"/>
              <w:bottom w:val="single" w:color="000000" w:sz="4" w:space="0"/>
              <w:right w:val="single" w:color="000000" w:sz="4" w:space="0"/>
            </w:tcBorders>
          </w:tcPr>
          <w:p w14:paraId="07D504B2">
            <w:pPr>
              <w:pStyle w:val="59"/>
              <w:spacing w:line="360" w:lineRule="auto"/>
              <w:rPr>
                <w:rFonts w:ascii="宋体" w:hAnsi="宋体"/>
                <w:b/>
                <w:color w:val="000000" w:themeColor="text1"/>
                <w:sz w:val="24"/>
                <w14:textFill>
                  <w14:solidFill>
                    <w14:schemeClr w14:val="tx1"/>
                  </w14:solidFill>
                </w14:textFill>
              </w:rPr>
            </w:pPr>
          </w:p>
        </w:tc>
      </w:tr>
      <w:tr w14:paraId="478BF8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3" w:type="dxa"/>
            <w:tcBorders>
              <w:top w:val="single" w:color="000000" w:sz="4" w:space="0"/>
              <w:left w:val="single" w:color="000000" w:sz="4" w:space="0"/>
              <w:bottom w:val="single" w:color="000000" w:sz="4" w:space="0"/>
              <w:right w:val="single" w:color="000000" w:sz="4" w:space="0"/>
            </w:tcBorders>
          </w:tcPr>
          <w:p w14:paraId="39A2DA6B">
            <w:pPr>
              <w:pStyle w:val="59"/>
              <w:spacing w:line="360" w:lineRule="auto"/>
              <w:rPr>
                <w:rFonts w:ascii="宋体" w:hAnsi="宋体"/>
                <w:b/>
                <w:color w:val="000000" w:themeColor="text1"/>
                <w:sz w:val="24"/>
                <w14:textFill>
                  <w14:solidFill>
                    <w14:schemeClr w14:val="tx1"/>
                  </w14:solidFill>
                </w14:textFill>
              </w:rPr>
            </w:pPr>
          </w:p>
        </w:tc>
        <w:tc>
          <w:tcPr>
            <w:tcW w:w="480" w:type="dxa"/>
            <w:tcBorders>
              <w:top w:val="single" w:color="000000" w:sz="4" w:space="0"/>
              <w:left w:val="single" w:color="000000" w:sz="4" w:space="0"/>
              <w:bottom w:val="single" w:color="000000" w:sz="4" w:space="0"/>
              <w:right w:val="single" w:color="000000" w:sz="4" w:space="0"/>
            </w:tcBorders>
          </w:tcPr>
          <w:p w14:paraId="37A219CE">
            <w:pPr>
              <w:pStyle w:val="59"/>
              <w:spacing w:line="360" w:lineRule="auto"/>
              <w:rPr>
                <w:rFonts w:ascii="宋体" w:hAnsi="宋体"/>
                <w:b/>
                <w:color w:val="000000" w:themeColor="text1"/>
                <w:sz w:val="24"/>
                <w14:textFill>
                  <w14:solidFill>
                    <w14:schemeClr w14:val="tx1"/>
                  </w14:solidFill>
                </w14:textFill>
              </w:rPr>
            </w:pPr>
          </w:p>
        </w:tc>
        <w:tc>
          <w:tcPr>
            <w:tcW w:w="822" w:type="dxa"/>
            <w:tcBorders>
              <w:top w:val="single" w:color="000000" w:sz="4" w:space="0"/>
              <w:left w:val="single" w:color="000000" w:sz="4" w:space="0"/>
              <w:bottom w:val="single" w:color="000000" w:sz="4" w:space="0"/>
              <w:right w:val="single" w:color="000000" w:sz="4" w:space="0"/>
            </w:tcBorders>
          </w:tcPr>
          <w:p w14:paraId="60C4D2FE">
            <w:pPr>
              <w:pStyle w:val="59"/>
              <w:spacing w:line="360" w:lineRule="auto"/>
              <w:rPr>
                <w:rFonts w:ascii="宋体" w:hAnsi="宋体"/>
                <w:b/>
                <w:color w:val="000000" w:themeColor="text1"/>
                <w:sz w:val="24"/>
                <w14:textFill>
                  <w14:solidFill>
                    <w14:schemeClr w14:val="tx1"/>
                  </w14:solidFill>
                </w14:textFill>
              </w:rPr>
            </w:pPr>
          </w:p>
        </w:tc>
        <w:tc>
          <w:tcPr>
            <w:tcW w:w="753" w:type="dxa"/>
            <w:tcBorders>
              <w:top w:val="single" w:color="000000" w:sz="4" w:space="0"/>
              <w:left w:val="single" w:color="000000" w:sz="4" w:space="0"/>
              <w:bottom w:val="single" w:color="000000" w:sz="4" w:space="0"/>
              <w:right w:val="single" w:color="000000" w:sz="4" w:space="0"/>
            </w:tcBorders>
          </w:tcPr>
          <w:p w14:paraId="79DF4E56">
            <w:pPr>
              <w:pStyle w:val="59"/>
              <w:spacing w:line="360" w:lineRule="auto"/>
              <w:rPr>
                <w:rFonts w:ascii="宋体" w:hAnsi="宋体"/>
                <w:b/>
                <w:color w:val="000000" w:themeColor="text1"/>
                <w:sz w:val="24"/>
                <w14:textFill>
                  <w14:solidFill>
                    <w14:schemeClr w14:val="tx1"/>
                  </w14:solidFill>
                </w14:textFill>
              </w:rPr>
            </w:pPr>
          </w:p>
        </w:tc>
        <w:tc>
          <w:tcPr>
            <w:tcW w:w="1028" w:type="dxa"/>
            <w:tcBorders>
              <w:top w:val="single" w:color="000000" w:sz="4" w:space="0"/>
              <w:left w:val="single" w:color="000000" w:sz="4" w:space="0"/>
              <w:bottom w:val="single" w:color="000000" w:sz="4" w:space="0"/>
              <w:right w:val="single" w:color="000000" w:sz="4" w:space="0"/>
            </w:tcBorders>
          </w:tcPr>
          <w:p w14:paraId="06CD20F2">
            <w:pPr>
              <w:pStyle w:val="59"/>
              <w:spacing w:line="360" w:lineRule="auto"/>
              <w:rPr>
                <w:rFonts w:ascii="宋体" w:hAnsi="宋体"/>
                <w:b/>
                <w:color w:val="000000" w:themeColor="text1"/>
                <w:sz w:val="24"/>
                <w14:textFill>
                  <w14:solidFill>
                    <w14:schemeClr w14:val="tx1"/>
                  </w14:solidFill>
                </w14:textFill>
              </w:rPr>
            </w:pPr>
          </w:p>
        </w:tc>
        <w:tc>
          <w:tcPr>
            <w:tcW w:w="1027" w:type="dxa"/>
            <w:tcBorders>
              <w:top w:val="single" w:color="000000" w:sz="4" w:space="0"/>
              <w:left w:val="single" w:color="000000" w:sz="4" w:space="0"/>
              <w:bottom w:val="single" w:color="000000" w:sz="4" w:space="0"/>
              <w:right w:val="single" w:color="000000" w:sz="4" w:space="0"/>
            </w:tcBorders>
          </w:tcPr>
          <w:p w14:paraId="0675A661">
            <w:pPr>
              <w:pStyle w:val="59"/>
              <w:spacing w:line="360" w:lineRule="auto"/>
              <w:rPr>
                <w:rFonts w:ascii="宋体" w:hAnsi="宋体"/>
                <w:b/>
                <w:color w:val="000000" w:themeColor="text1"/>
                <w:sz w:val="24"/>
                <w14:textFill>
                  <w14:solidFill>
                    <w14:schemeClr w14:val="tx1"/>
                  </w14:solidFill>
                </w14:textFill>
              </w:rPr>
            </w:pPr>
          </w:p>
        </w:tc>
        <w:tc>
          <w:tcPr>
            <w:tcW w:w="478" w:type="dxa"/>
            <w:tcBorders>
              <w:top w:val="single" w:color="000000" w:sz="4" w:space="0"/>
              <w:left w:val="single" w:color="000000" w:sz="4" w:space="0"/>
              <w:bottom w:val="single" w:color="000000" w:sz="4" w:space="0"/>
              <w:right w:val="single" w:color="000000" w:sz="4" w:space="0"/>
            </w:tcBorders>
          </w:tcPr>
          <w:p w14:paraId="6A7C8F22">
            <w:pPr>
              <w:pStyle w:val="59"/>
              <w:spacing w:line="360" w:lineRule="auto"/>
              <w:rPr>
                <w:rFonts w:ascii="宋体" w:hAnsi="宋体"/>
                <w:b/>
                <w:color w:val="000000" w:themeColor="text1"/>
                <w:sz w:val="24"/>
                <w14:textFill>
                  <w14:solidFill>
                    <w14:schemeClr w14:val="tx1"/>
                  </w14:solidFill>
                </w14:textFill>
              </w:rPr>
            </w:pPr>
          </w:p>
        </w:tc>
      </w:tr>
      <w:tr w14:paraId="210FD8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3" w:type="dxa"/>
            <w:tcBorders>
              <w:top w:val="single" w:color="000000" w:sz="4" w:space="0"/>
              <w:left w:val="single" w:color="000000" w:sz="4" w:space="0"/>
              <w:bottom w:val="single" w:color="000000" w:sz="4" w:space="0"/>
              <w:right w:val="single" w:color="000000" w:sz="4" w:space="0"/>
            </w:tcBorders>
          </w:tcPr>
          <w:p w14:paraId="5FC9F91B">
            <w:pPr>
              <w:pStyle w:val="59"/>
              <w:spacing w:line="360" w:lineRule="auto"/>
              <w:rPr>
                <w:rFonts w:ascii="宋体" w:hAnsi="宋体"/>
                <w:b/>
                <w:color w:val="000000" w:themeColor="text1"/>
                <w:sz w:val="24"/>
                <w14:textFill>
                  <w14:solidFill>
                    <w14:schemeClr w14:val="tx1"/>
                  </w14:solidFill>
                </w14:textFill>
              </w:rPr>
            </w:pPr>
          </w:p>
        </w:tc>
        <w:tc>
          <w:tcPr>
            <w:tcW w:w="480" w:type="dxa"/>
            <w:tcBorders>
              <w:top w:val="single" w:color="000000" w:sz="4" w:space="0"/>
              <w:left w:val="single" w:color="000000" w:sz="4" w:space="0"/>
              <w:bottom w:val="single" w:color="000000" w:sz="4" w:space="0"/>
              <w:right w:val="single" w:color="000000" w:sz="4" w:space="0"/>
            </w:tcBorders>
          </w:tcPr>
          <w:p w14:paraId="62666523">
            <w:pPr>
              <w:pStyle w:val="59"/>
              <w:spacing w:line="360" w:lineRule="auto"/>
              <w:rPr>
                <w:rFonts w:ascii="宋体" w:hAnsi="宋体"/>
                <w:b/>
                <w:color w:val="000000" w:themeColor="text1"/>
                <w:sz w:val="24"/>
                <w14:textFill>
                  <w14:solidFill>
                    <w14:schemeClr w14:val="tx1"/>
                  </w14:solidFill>
                </w14:textFill>
              </w:rPr>
            </w:pPr>
          </w:p>
        </w:tc>
        <w:tc>
          <w:tcPr>
            <w:tcW w:w="822" w:type="dxa"/>
            <w:tcBorders>
              <w:top w:val="single" w:color="000000" w:sz="4" w:space="0"/>
              <w:left w:val="single" w:color="000000" w:sz="4" w:space="0"/>
              <w:bottom w:val="single" w:color="000000" w:sz="4" w:space="0"/>
              <w:right w:val="single" w:color="000000" w:sz="4" w:space="0"/>
            </w:tcBorders>
          </w:tcPr>
          <w:p w14:paraId="0D42D1E0">
            <w:pPr>
              <w:pStyle w:val="59"/>
              <w:spacing w:line="360" w:lineRule="auto"/>
              <w:rPr>
                <w:rFonts w:ascii="宋体" w:hAnsi="宋体"/>
                <w:b/>
                <w:color w:val="000000" w:themeColor="text1"/>
                <w:sz w:val="24"/>
                <w14:textFill>
                  <w14:solidFill>
                    <w14:schemeClr w14:val="tx1"/>
                  </w14:solidFill>
                </w14:textFill>
              </w:rPr>
            </w:pPr>
          </w:p>
        </w:tc>
        <w:tc>
          <w:tcPr>
            <w:tcW w:w="753" w:type="dxa"/>
            <w:tcBorders>
              <w:top w:val="single" w:color="000000" w:sz="4" w:space="0"/>
              <w:left w:val="single" w:color="000000" w:sz="4" w:space="0"/>
              <w:bottom w:val="single" w:color="000000" w:sz="4" w:space="0"/>
              <w:right w:val="single" w:color="000000" w:sz="4" w:space="0"/>
            </w:tcBorders>
          </w:tcPr>
          <w:p w14:paraId="577A2FE7">
            <w:pPr>
              <w:pStyle w:val="59"/>
              <w:spacing w:line="360" w:lineRule="auto"/>
              <w:rPr>
                <w:rFonts w:ascii="宋体" w:hAnsi="宋体"/>
                <w:b/>
                <w:color w:val="000000" w:themeColor="text1"/>
                <w:sz w:val="24"/>
                <w14:textFill>
                  <w14:solidFill>
                    <w14:schemeClr w14:val="tx1"/>
                  </w14:solidFill>
                </w14:textFill>
              </w:rPr>
            </w:pPr>
          </w:p>
        </w:tc>
        <w:tc>
          <w:tcPr>
            <w:tcW w:w="1028" w:type="dxa"/>
            <w:tcBorders>
              <w:top w:val="single" w:color="000000" w:sz="4" w:space="0"/>
              <w:left w:val="single" w:color="000000" w:sz="4" w:space="0"/>
              <w:bottom w:val="single" w:color="000000" w:sz="4" w:space="0"/>
              <w:right w:val="single" w:color="000000" w:sz="4" w:space="0"/>
            </w:tcBorders>
          </w:tcPr>
          <w:p w14:paraId="058C8D3C">
            <w:pPr>
              <w:pStyle w:val="59"/>
              <w:spacing w:line="360" w:lineRule="auto"/>
              <w:rPr>
                <w:rFonts w:ascii="宋体" w:hAnsi="宋体"/>
                <w:b/>
                <w:color w:val="000000" w:themeColor="text1"/>
                <w:sz w:val="24"/>
                <w14:textFill>
                  <w14:solidFill>
                    <w14:schemeClr w14:val="tx1"/>
                  </w14:solidFill>
                </w14:textFill>
              </w:rPr>
            </w:pPr>
          </w:p>
        </w:tc>
        <w:tc>
          <w:tcPr>
            <w:tcW w:w="1027" w:type="dxa"/>
            <w:tcBorders>
              <w:top w:val="single" w:color="000000" w:sz="4" w:space="0"/>
              <w:left w:val="single" w:color="000000" w:sz="4" w:space="0"/>
              <w:bottom w:val="single" w:color="000000" w:sz="4" w:space="0"/>
              <w:right w:val="single" w:color="000000" w:sz="4" w:space="0"/>
            </w:tcBorders>
          </w:tcPr>
          <w:p w14:paraId="7C12E1E1">
            <w:pPr>
              <w:pStyle w:val="59"/>
              <w:spacing w:line="360" w:lineRule="auto"/>
              <w:rPr>
                <w:rFonts w:ascii="宋体" w:hAnsi="宋体"/>
                <w:b/>
                <w:color w:val="000000" w:themeColor="text1"/>
                <w:sz w:val="24"/>
                <w14:textFill>
                  <w14:solidFill>
                    <w14:schemeClr w14:val="tx1"/>
                  </w14:solidFill>
                </w14:textFill>
              </w:rPr>
            </w:pPr>
          </w:p>
        </w:tc>
        <w:tc>
          <w:tcPr>
            <w:tcW w:w="478" w:type="dxa"/>
            <w:tcBorders>
              <w:top w:val="single" w:color="000000" w:sz="4" w:space="0"/>
              <w:left w:val="single" w:color="000000" w:sz="4" w:space="0"/>
              <w:bottom w:val="single" w:color="000000" w:sz="4" w:space="0"/>
              <w:right w:val="single" w:color="000000" w:sz="4" w:space="0"/>
            </w:tcBorders>
          </w:tcPr>
          <w:p w14:paraId="7B705F95">
            <w:pPr>
              <w:pStyle w:val="59"/>
              <w:spacing w:line="360" w:lineRule="auto"/>
              <w:rPr>
                <w:rFonts w:ascii="宋体" w:hAnsi="宋体"/>
                <w:b/>
                <w:color w:val="000000" w:themeColor="text1"/>
                <w:sz w:val="24"/>
                <w14:textFill>
                  <w14:solidFill>
                    <w14:schemeClr w14:val="tx1"/>
                  </w14:solidFill>
                </w14:textFill>
              </w:rPr>
            </w:pPr>
          </w:p>
        </w:tc>
      </w:tr>
      <w:tr w14:paraId="4515B8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3" w:type="dxa"/>
            <w:tcBorders>
              <w:top w:val="single" w:color="000000" w:sz="4" w:space="0"/>
              <w:left w:val="single" w:color="000000" w:sz="4" w:space="0"/>
              <w:bottom w:val="single" w:color="000000" w:sz="4" w:space="0"/>
              <w:right w:val="single" w:color="000000" w:sz="4" w:space="0"/>
            </w:tcBorders>
          </w:tcPr>
          <w:p w14:paraId="77E72812">
            <w:pPr>
              <w:pStyle w:val="59"/>
              <w:spacing w:line="360" w:lineRule="auto"/>
              <w:rPr>
                <w:rFonts w:ascii="宋体" w:hAnsi="宋体"/>
                <w:b/>
                <w:color w:val="000000" w:themeColor="text1"/>
                <w:sz w:val="18"/>
                <w:szCs w:val="18"/>
                <w14:textFill>
                  <w14:solidFill>
                    <w14:schemeClr w14:val="tx1"/>
                  </w14:solidFill>
                </w14:textFill>
              </w:rPr>
            </w:pPr>
          </w:p>
        </w:tc>
        <w:tc>
          <w:tcPr>
            <w:tcW w:w="480" w:type="dxa"/>
            <w:tcBorders>
              <w:top w:val="single" w:color="000000" w:sz="4" w:space="0"/>
              <w:left w:val="single" w:color="000000" w:sz="4" w:space="0"/>
              <w:bottom w:val="single" w:color="000000" w:sz="4" w:space="0"/>
              <w:right w:val="single" w:color="000000" w:sz="4" w:space="0"/>
            </w:tcBorders>
          </w:tcPr>
          <w:p w14:paraId="79F9362B">
            <w:pPr>
              <w:pStyle w:val="59"/>
              <w:spacing w:line="360" w:lineRule="auto"/>
              <w:rPr>
                <w:rFonts w:ascii="宋体" w:hAnsi="宋体"/>
                <w:b/>
                <w:color w:val="000000" w:themeColor="text1"/>
                <w:sz w:val="24"/>
                <w14:textFill>
                  <w14:solidFill>
                    <w14:schemeClr w14:val="tx1"/>
                  </w14:solidFill>
                </w14:textFill>
              </w:rPr>
            </w:pPr>
          </w:p>
        </w:tc>
        <w:tc>
          <w:tcPr>
            <w:tcW w:w="822" w:type="dxa"/>
            <w:tcBorders>
              <w:top w:val="single" w:color="000000" w:sz="4" w:space="0"/>
              <w:left w:val="single" w:color="000000" w:sz="4" w:space="0"/>
              <w:bottom w:val="single" w:color="000000" w:sz="4" w:space="0"/>
              <w:right w:val="single" w:color="000000" w:sz="4" w:space="0"/>
            </w:tcBorders>
          </w:tcPr>
          <w:p w14:paraId="68A004BB">
            <w:pPr>
              <w:pStyle w:val="59"/>
              <w:spacing w:line="360" w:lineRule="auto"/>
              <w:rPr>
                <w:rFonts w:ascii="宋体" w:hAnsi="宋体"/>
                <w:b/>
                <w:color w:val="000000" w:themeColor="text1"/>
                <w:sz w:val="24"/>
                <w14:textFill>
                  <w14:solidFill>
                    <w14:schemeClr w14:val="tx1"/>
                  </w14:solidFill>
                </w14:textFill>
              </w:rPr>
            </w:pPr>
          </w:p>
        </w:tc>
        <w:tc>
          <w:tcPr>
            <w:tcW w:w="753" w:type="dxa"/>
            <w:tcBorders>
              <w:top w:val="single" w:color="000000" w:sz="4" w:space="0"/>
              <w:left w:val="single" w:color="000000" w:sz="4" w:space="0"/>
              <w:bottom w:val="single" w:color="000000" w:sz="4" w:space="0"/>
              <w:right w:val="single" w:color="000000" w:sz="4" w:space="0"/>
            </w:tcBorders>
          </w:tcPr>
          <w:p w14:paraId="5DE2768A">
            <w:pPr>
              <w:pStyle w:val="59"/>
              <w:spacing w:line="360" w:lineRule="auto"/>
              <w:rPr>
                <w:rFonts w:ascii="宋体" w:hAnsi="宋体"/>
                <w:b/>
                <w:color w:val="000000" w:themeColor="text1"/>
                <w:sz w:val="24"/>
                <w14:textFill>
                  <w14:solidFill>
                    <w14:schemeClr w14:val="tx1"/>
                  </w14:solidFill>
                </w14:textFill>
              </w:rPr>
            </w:pPr>
          </w:p>
        </w:tc>
        <w:tc>
          <w:tcPr>
            <w:tcW w:w="1028" w:type="dxa"/>
            <w:tcBorders>
              <w:top w:val="single" w:color="000000" w:sz="4" w:space="0"/>
              <w:left w:val="single" w:color="000000" w:sz="4" w:space="0"/>
              <w:bottom w:val="single" w:color="000000" w:sz="4" w:space="0"/>
              <w:right w:val="single" w:color="000000" w:sz="4" w:space="0"/>
            </w:tcBorders>
          </w:tcPr>
          <w:p w14:paraId="53EA6898">
            <w:pPr>
              <w:pStyle w:val="59"/>
              <w:spacing w:line="360" w:lineRule="auto"/>
              <w:rPr>
                <w:rFonts w:ascii="宋体" w:hAnsi="宋体"/>
                <w:b/>
                <w:color w:val="000000" w:themeColor="text1"/>
                <w:sz w:val="24"/>
                <w14:textFill>
                  <w14:solidFill>
                    <w14:schemeClr w14:val="tx1"/>
                  </w14:solidFill>
                </w14:textFill>
              </w:rPr>
            </w:pPr>
          </w:p>
        </w:tc>
        <w:tc>
          <w:tcPr>
            <w:tcW w:w="1027" w:type="dxa"/>
            <w:tcBorders>
              <w:top w:val="single" w:color="000000" w:sz="4" w:space="0"/>
              <w:left w:val="single" w:color="000000" w:sz="4" w:space="0"/>
              <w:bottom w:val="single" w:color="000000" w:sz="4" w:space="0"/>
              <w:right w:val="single" w:color="000000" w:sz="4" w:space="0"/>
            </w:tcBorders>
          </w:tcPr>
          <w:p w14:paraId="62BB6E9A">
            <w:pPr>
              <w:pStyle w:val="59"/>
              <w:spacing w:line="360" w:lineRule="auto"/>
              <w:rPr>
                <w:rFonts w:ascii="宋体" w:hAnsi="宋体"/>
                <w:b/>
                <w:color w:val="000000" w:themeColor="text1"/>
                <w:sz w:val="24"/>
                <w14:textFill>
                  <w14:solidFill>
                    <w14:schemeClr w14:val="tx1"/>
                  </w14:solidFill>
                </w14:textFill>
              </w:rPr>
            </w:pPr>
          </w:p>
        </w:tc>
        <w:tc>
          <w:tcPr>
            <w:tcW w:w="478" w:type="dxa"/>
            <w:tcBorders>
              <w:top w:val="single" w:color="000000" w:sz="4" w:space="0"/>
              <w:left w:val="single" w:color="000000" w:sz="4" w:space="0"/>
              <w:bottom w:val="single" w:color="000000" w:sz="4" w:space="0"/>
              <w:right w:val="single" w:color="000000" w:sz="4" w:space="0"/>
            </w:tcBorders>
          </w:tcPr>
          <w:p w14:paraId="4B8EEC8D">
            <w:pPr>
              <w:pStyle w:val="59"/>
              <w:spacing w:line="360" w:lineRule="auto"/>
              <w:rPr>
                <w:rFonts w:ascii="宋体" w:hAnsi="宋体"/>
                <w:b/>
                <w:color w:val="000000" w:themeColor="text1"/>
                <w:sz w:val="24"/>
                <w14:textFill>
                  <w14:solidFill>
                    <w14:schemeClr w14:val="tx1"/>
                  </w14:solidFill>
                </w14:textFill>
              </w:rPr>
            </w:pPr>
          </w:p>
        </w:tc>
      </w:tr>
      <w:tr w14:paraId="77609C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3" w:type="dxa"/>
            <w:tcBorders>
              <w:top w:val="single" w:color="000000" w:sz="4" w:space="0"/>
              <w:left w:val="single" w:color="000000" w:sz="4" w:space="0"/>
              <w:bottom w:val="single" w:color="000000" w:sz="4" w:space="0"/>
              <w:right w:val="single" w:color="000000" w:sz="4" w:space="0"/>
            </w:tcBorders>
          </w:tcPr>
          <w:p w14:paraId="6D562FE5">
            <w:pPr>
              <w:pStyle w:val="59"/>
              <w:spacing w:line="360" w:lineRule="auto"/>
              <w:rPr>
                <w:rFonts w:ascii="宋体" w:hAnsi="宋体"/>
                <w:b/>
                <w:color w:val="000000" w:themeColor="text1"/>
                <w:sz w:val="24"/>
                <w14:textFill>
                  <w14:solidFill>
                    <w14:schemeClr w14:val="tx1"/>
                  </w14:solidFill>
                </w14:textFill>
              </w:rPr>
            </w:pPr>
          </w:p>
        </w:tc>
        <w:tc>
          <w:tcPr>
            <w:tcW w:w="480" w:type="dxa"/>
            <w:tcBorders>
              <w:top w:val="single" w:color="000000" w:sz="4" w:space="0"/>
              <w:left w:val="single" w:color="000000" w:sz="4" w:space="0"/>
              <w:bottom w:val="single" w:color="000000" w:sz="4" w:space="0"/>
              <w:right w:val="single" w:color="000000" w:sz="4" w:space="0"/>
            </w:tcBorders>
          </w:tcPr>
          <w:p w14:paraId="1E785E41">
            <w:pPr>
              <w:pStyle w:val="59"/>
              <w:spacing w:line="360" w:lineRule="auto"/>
              <w:rPr>
                <w:rFonts w:ascii="宋体" w:hAnsi="宋体"/>
                <w:b/>
                <w:color w:val="000000" w:themeColor="text1"/>
                <w:sz w:val="24"/>
                <w14:textFill>
                  <w14:solidFill>
                    <w14:schemeClr w14:val="tx1"/>
                  </w14:solidFill>
                </w14:textFill>
              </w:rPr>
            </w:pPr>
          </w:p>
        </w:tc>
        <w:tc>
          <w:tcPr>
            <w:tcW w:w="822" w:type="dxa"/>
            <w:tcBorders>
              <w:top w:val="single" w:color="000000" w:sz="4" w:space="0"/>
              <w:left w:val="single" w:color="000000" w:sz="4" w:space="0"/>
              <w:bottom w:val="single" w:color="000000" w:sz="4" w:space="0"/>
              <w:right w:val="single" w:color="000000" w:sz="4" w:space="0"/>
            </w:tcBorders>
          </w:tcPr>
          <w:p w14:paraId="0AC4930C">
            <w:pPr>
              <w:pStyle w:val="59"/>
              <w:spacing w:line="360" w:lineRule="auto"/>
              <w:rPr>
                <w:rFonts w:ascii="宋体" w:hAnsi="宋体"/>
                <w:b/>
                <w:color w:val="000000" w:themeColor="text1"/>
                <w:sz w:val="24"/>
                <w14:textFill>
                  <w14:solidFill>
                    <w14:schemeClr w14:val="tx1"/>
                  </w14:solidFill>
                </w14:textFill>
              </w:rPr>
            </w:pPr>
          </w:p>
        </w:tc>
        <w:tc>
          <w:tcPr>
            <w:tcW w:w="753" w:type="dxa"/>
            <w:tcBorders>
              <w:top w:val="single" w:color="000000" w:sz="4" w:space="0"/>
              <w:left w:val="single" w:color="000000" w:sz="4" w:space="0"/>
              <w:bottom w:val="single" w:color="000000" w:sz="4" w:space="0"/>
              <w:right w:val="single" w:color="000000" w:sz="4" w:space="0"/>
            </w:tcBorders>
          </w:tcPr>
          <w:p w14:paraId="3249E603">
            <w:pPr>
              <w:pStyle w:val="59"/>
              <w:spacing w:line="360" w:lineRule="auto"/>
              <w:rPr>
                <w:rFonts w:ascii="宋体" w:hAnsi="宋体"/>
                <w:b/>
                <w:color w:val="000000" w:themeColor="text1"/>
                <w:sz w:val="24"/>
                <w14:textFill>
                  <w14:solidFill>
                    <w14:schemeClr w14:val="tx1"/>
                  </w14:solidFill>
                </w14:textFill>
              </w:rPr>
            </w:pPr>
          </w:p>
        </w:tc>
        <w:tc>
          <w:tcPr>
            <w:tcW w:w="1028" w:type="dxa"/>
            <w:tcBorders>
              <w:top w:val="single" w:color="000000" w:sz="4" w:space="0"/>
              <w:left w:val="single" w:color="000000" w:sz="4" w:space="0"/>
              <w:bottom w:val="single" w:color="000000" w:sz="4" w:space="0"/>
              <w:right w:val="single" w:color="000000" w:sz="4" w:space="0"/>
            </w:tcBorders>
          </w:tcPr>
          <w:p w14:paraId="5809D2D6">
            <w:pPr>
              <w:pStyle w:val="59"/>
              <w:spacing w:line="360" w:lineRule="auto"/>
              <w:rPr>
                <w:rFonts w:ascii="宋体" w:hAnsi="宋体"/>
                <w:b/>
                <w:color w:val="000000" w:themeColor="text1"/>
                <w:sz w:val="24"/>
                <w14:textFill>
                  <w14:solidFill>
                    <w14:schemeClr w14:val="tx1"/>
                  </w14:solidFill>
                </w14:textFill>
              </w:rPr>
            </w:pPr>
          </w:p>
        </w:tc>
        <w:tc>
          <w:tcPr>
            <w:tcW w:w="1027" w:type="dxa"/>
            <w:tcBorders>
              <w:top w:val="single" w:color="000000" w:sz="4" w:space="0"/>
              <w:left w:val="single" w:color="000000" w:sz="4" w:space="0"/>
              <w:bottom w:val="single" w:color="000000" w:sz="4" w:space="0"/>
              <w:right w:val="single" w:color="000000" w:sz="4" w:space="0"/>
            </w:tcBorders>
          </w:tcPr>
          <w:p w14:paraId="0BEA3C1A">
            <w:pPr>
              <w:pStyle w:val="59"/>
              <w:spacing w:line="360" w:lineRule="auto"/>
              <w:rPr>
                <w:rFonts w:ascii="宋体" w:hAnsi="宋体"/>
                <w:b/>
                <w:color w:val="000000" w:themeColor="text1"/>
                <w:sz w:val="24"/>
                <w14:textFill>
                  <w14:solidFill>
                    <w14:schemeClr w14:val="tx1"/>
                  </w14:solidFill>
                </w14:textFill>
              </w:rPr>
            </w:pPr>
          </w:p>
        </w:tc>
        <w:tc>
          <w:tcPr>
            <w:tcW w:w="478" w:type="dxa"/>
            <w:tcBorders>
              <w:top w:val="single" w:color="000000" w:sz="4" w:space="0"/>
              <w:left w:val="single" w:color="000000" w:sz="4" w:space="0"/>
              <w:bottom w:val="single" w:color="000000" w:sz="4" w:space="0"/>
              <w:right w:val="single" w:color="000000" w:sz="4" w:space="0"/>
            </w:tcBorders>
          </w:tcPr>
          <w:p w14:paraId="34107B8D">
            <w:pPr>
              <w:pStyle w:val="59"/>
              <w:spacing w:line="360" w:lineRule="auto"/>
              <w:rPr>
                <w:rFonts w:ascii="宋体" w:hAnsi="宋体"/>
                <w:b/>
                <w:color w:val="000000" w:themeColor="text1"/>
                <w:sz w:val="24"/>
                <w14:textFill>
                  <w14:solidFill>
                    <w14:schemeClr w14:val="tx1"/>
                  </w14:solidFill>
                </w14:textFill>
              </w:rPr>
            </w:pPr>
          </w:p>
        </w:tc>
      </w:tr>
      <w:tr w14:paraId="318FB3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3" w:type="dxa"/>
            <w:tcBorders>
              <w:top w:val="single" w:color="000000" w:sz="4" w:space="0"/>
              <w:left w:val="single" w:color="000000" w:sz="4" w:space="0"/>
              <w:bottom w:val="single" w:color="000000" w:sz="4" w:space="0"/>
              <w:right w:val="single" w:color="000000" w:sz="4" w:space="0"/>
            </w:tcBorders>
          </w:tcPr>
          <w:p w14:paraId="505AF126">
            <w:pPr>
              <w:pStyle w:val="59"/>
              <w:spacing w:line="360" w:lineRule="auto"/>
              <w:rPr>
                <w:rFonts w:ascii="宋体" w:hAnsi="宋体"/>
                <w:b/>
                <w:color w:val="000000" w:themeColor="text1"/>
                <w:sz w:val="24"/>
                <w14:textFill>
                  <w14:solidFill>
                    <w14:schemeClr w14:val="tx1"/>
                  </w14:solidFill>
                </w14:textFill>
              </w:rPr>
            </w:pPr>
          </w:p>
        </w:tc>
        <w:tc>
          <w:tcPr>
            <w:tcW w:w="480" w:type="dxa"/>
            <w:tcBorders>
              <w:top w:val="single" w:color="000000" w:sz="4" w:space="0"/>
              <w:left w:val="single" w:color="000000" w:sz="4" w:space="0"/>
              <w:bottom w:val="single" w:color="000000" w:sz="4" w:space="0"/>
              <w:right w:val="single" w:color="000000" w:sz="4" w:space="0"/>
            </w:tcBorders>
          </w:tcPr>
          <w:p w14:paraId="4BE23185">
            <w:pPr>
              <w:pStyle w:val="59"/>
              <w:spacing w:line="360" w:lineRule="auto"/>
              <w:rPr>
                <w:rFonts w:ascii="宋体" w:hAnsi="宋体"/>
                <w:b/>
                <w:color w:val="000000" w:themeColor="text1"/>
                <w:sz w:val="24"/>
                <w14:textFill>
                  <w14:solidFill>
                    <w14:schemeClr w14:val="tx1"/>
                  </w14:solidFill>
                </w14:textFill>
              </w:rPr>
            </w:pPr>
          </w:p>
        </w:tc>
        <w:tc>
          <w:tcPr>
            <w:tcW w:w="822" w:type="dxa"/>
            <w:tcBorders>
              <w:top w:val="single" w:color="000000" w:sz="4" w:space="0"/>
              <w:left w:val="single" w:color="000000" w:sz="4" w:space="0"/>
              <w:bottom w:val="single" w:color="000000" w:sz="4" w:space="0"/>
              <w:right w:val="single" w:color="000000" w:sz="4" w:space="0"/>
            </w:tcBorders>
          </w:tcPr>
          <w:p w14:paraId="3F9298AD">
            <w:pPr>
              <w:pStyle w:val="59"/>
              <w:spacing w:line="360" w:lineRule="auto"/>
              <w:rPr>
                <w:rFonts w:ascii="宋体" w:hAnsi="宋体"/>
                <w:b/>
                <w:color w:val="000000" w:themeColor="text1"/>
                <w:sz w:val="24"/>
                <w14:textFill>
                  <w14:solidFill>
                    <w14:schemeClr w14:val="tx1"/>
                  </w14:solidFill>
                </w14:textFill>
              </w:rPr>
            </w:pPr>
          </w:p>
        </w:tc>
        <w:tc>
          <w:tcPr>
            <w:tcW w:w="753" w:type="dxa"/>
            <w:tcBorders>
              <w:top w:val="single" w:color="000000" w:sz="4" w:space="0"/>
              <w:left w:val="single" w:color="000000" w:sz="4" w:space="0"/>
              <w:bottom w:val="single" w:color="000000" w:sz="4" w:space="0"/>
              <w:right w:val="single" w:color="000000" w:sz="4" w:space="0"/>
            </w:tcBorders>
          </w:tcPr>
          <w:p w14:paraId="75F80B1F">
            <w:pPr>
              <w:pStyle w:val="59"/>
              <w:spacing w:line="360" w:lineRule="auto"/>
              <w:rPr>
                <w:rFonts w:ascii="宋体" w:hAnsi="宋体"/>
                <w:b/>
                <w:color w:val="000000" w:themeColor="text1"/>
                <w:sz w:val="24"/>
                <w14:textFill>
                  <w14:solidFill>
                    <w14:schemeClr w14:val="tx1"/>
                  </w14:solidFill>
                </w14:textFill>
              </w:rPr>
            </w:pPr>
          </w:p>
        </w:tc>
        <w:tc>
          <w:tcPr>
            <w:tcW w:w="1028" w:type="dxa"/>
            <w:tcBorders>
              <w:top w:val="single" w:color="000000" w:sz="4" w:space="0"/>
              <w:left w:val="single" w:color="000000" w:sz="4" w:space="0"/>
              <w:bottom w:val="single" w:color="000000" w:sz="4" w:space="0"/>
              <w:right w:val="single" w:color="000000" w:sz="4" w:space="0"/>
            </w:tcBorders>
          </w:tcPr>
          <w:p w14:paraId="47CFA224">
            <w:pPr>
              <w:pStyle w:val="59"/>
              <w:spacing w:line="360" w:lineRule="auto"/>
              <w:rPr>
                <w:rFonts w:ascii="宋体" w:hAnsi="宋体"/>
                <w:b/>
                <w:color w:val="000000" w:themeColor="text1"/>
                <w:sz w:val="24"/>
                <w14:textFill>
                  <w14:solidFill>
                    <w14:schemeClr w14:val="tx1"/>
                  </w14:solidFill>
                </w14:textFill>
              </w:rPr>
            </w:pPr>
          </w:p>
        </w:tc>
        <w:tc>
          <w:tcPr>
            <w:tcW w:w="1027" w:type="dxa"/>
            <w:tcBorders>
              <w:top w:val="single" w:color="000000" w:sz="4" w:space="0"/>
              <w:left w:val="single" w:color="000000" w:sz="4" w:space="0"/>
              <w:bottom w:val="single" w:color="000000" w:sz="4" w:space="0"/>
              <w:right w:val="single" w:color="000000" w:sz="4" w:space="0"/>
            </w:tcBorders>
          </w:tcPr>
          <w:p w14:paraId="038C1EEA">
            <w:pPr>
              <w:pStyle w:val="59"/>
              <w:spacing w:line="360" w:lineRule="auto"/>
              <w:rPr>
                <w:rFonts w:ascii="宋体" w:hAnsi="宋体"/>
                <w:b/>
                <w:color w:val="000000" w:themeColor="text1"/>
                <w:sz w:val="24"/>
                <w14:textFill>
                  <w14:solidFill>
                    <w14:schemeClr w14:val="tx1"/>
                  </w14:solidFill>
                </w14:textFill>
              </w:rPr>
            </w:pPr>
          </w:p>
        </w:tc>
        <w:tc>
          <w:tcPr>
            <w:tcW w:w="478" w:type="dxa"/>
            <w:tcBorders>
              <w:top w:val="single" w:color="000000" w:sz="4" w:space="0"/>
              <w:left w:val="single" w:color="000000" w:sz="4" w:space="0"/>
              <w:bottom w:val="single" w:color="000000" w:sz="4" w:space="0"/>
              <w:right w:val="single" w:color="000000" w:sz="4" w:space="0"/>
            </w:tcBorders>
          </w:tcPr>
          <w:p w14:paraId="318AB6B3">
            <w:pPr>
              <w:pStyle w:val="59"/>
              <w:spacing w:line="360" w:lineRule="auto"/>
              <w:rPr>
                <w:rFonts w:ascii="宋体" w:hAnsi="宋体"/>
                <w:b/>
                <w:color w:val="000000" w:themeColor="text1"/>
                <w:sz w:val="24"/>
                <w14:textFill>
                  <w14:solidFill>
                    <w14:schemeClr w14:val="tx1"/>
                  </w14:solidFill>
                </w14:textFill>
              </w:rPr>
            </w:pPr>
          </w:p>
        </w:tc>
      </w:tr>
    </w:tbl>
    <w:p w14:paraId="70EB6069">
      <w:pPr>
        <w:pStyle w:val="61"/>
        <w:spacing w:before="156" w:line="360" w:lineRule="auto"/>
        <w:ind w:firstLine="480"/>
        <w:rPr>
          <w:rFonts w:ascii="宋体" w:hAnsi="宋体" w:eastAsia="宋体"/>
          <w:color w:val="000000" w:themeColor="text1"/>
          <w:sz w:val="24"/>
          <w:u w:val="single"/>
          <w14:textFill>
            <w14:solidFill>
              <w14:schemeClr w14:val="tx1"/>
            </w14:solidFill>
          </w14:textFill>
        </w:rPr>
      </w:pPr>
      <w:r>
        <w:rPr>
          <w:rFonts w:hint="eastAsia" w:ascii="宋体" w:hAnsi="宋体" w:eastAsia="宋体"/>
          <w:color w:val="000000" w:themeColor="text1"/>
          <w:sz w:val="24"/>
          <w:u w:val="single"/>
          <w14:textFill>
            <w14:solidFill>
              <w14:schemeClr w14:val="tx1"/>
            </w14:solidFill>
          </w14:textFill>
        </w:rPr>
        <w:t>注：1、行数不够，请自行添加。</w:t>
      </w:r>
    </w:p>
    <w:p w14:paraId="10DE8113">
      <w:pPr>
        <w:pStyle w:val="59"/>
        <w:spacing w:line="360" w:lineRule="auto"/>
        <w:ind w:firstLine="48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2、列入本表人员如要更换，须经采购人同意，擅自更换属违约行为。</w:t>
      </w:r>
    </w:p>
    <w:p w14:paraId="430A8327">
      <w:pPr>
        <w:pStyle w:val="59"/>
        <w:spacing w:line="360" w:lineRule="auto"/>
        <w:ind w:firstLine="48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3、列入上表人员具有相关证书、工作经验的，应在本栏目提交相关证明材料复印件。</w:t>
      </w:r>
    </w:p>
    <w:p w14:paraId="0556536D">
      <w:pPr>
        <w:pStyle w:val="59"/>
        <w:spacing w:line="360" w:lineRule="auto"/>
        <w:ind w:firstLine="48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4、须提供近半年（任意一个月）供应商为其缴纳社会保险的证明材料。</w:t>
      </w:r>
    </w:p>
    <w:p w14:paraId="4682DC70">
      <w:pPr>
        <w:pStyle w:val="59"/>
        <w:spacing w:line="360" w:lineRule="auto"/>
        <w:ind w:firstLine="480"/>
        <w:rPr>
          <w:rFonts w:ascii="宋体" w:hAnsi="宋体"/>
          <w:color w:val="000000" w:themeColor="text1"/>
          <w:sz w:val="24"/>
          <w:u w:val="single"/>
          <w14:textFill>
            <w14:solidFill>
              <w14:schemeClr w14:val="tx1"/>
            </w14:solidFill>
          </w14:textFill>
        </w:rPr>
      </w:pPr>
    </w:p>
    <w:p w14:paraId="254F846A">
      <w:pPr>
        <w:pStyle w:val="59"/>
        <w:spacing w:line="360" w:lineRule="auto"/>
        <w:ind w:firstLine="480"/>
        <w:rPr>
          <w:rFonts w:ascii="宋体" w:hAnsi="宋体"/>
          <w:color w:val="000000" w:themeColor="text1"/>
          <w:sz w:val="24"/>
          <w:u w:val="single"/>
          <w14:textFill>
            <w14:solidFill>
              <w14:schemeClr w14:val="tx1"/>
            </w14:solidFill>
          </w14:textFill>
        </w:rPr>
      </w:pPr>
    </w:p>
    <w:p w14:paraId="7697942C">
      <w:pPr>
        <w:pStyle w:val="59"/>
        <w:spacing w:line="360" w:lineRule="auto"/>
        <w:ind w:firstLine="480"/>
        <w:rPr>
          <w:rFonts w:ascii="宋体" w:hAnsi="宋体"/>
          <w:color w:val="000000" w:themeColor="text1"/>
          <w:sz w:val="24"/>
          <w:u w:val="single"/>
          <w14:textFill>
            <w14:solidFill>
              <w14:schemeClr w14:val="tx1"/>
            </w14:solidFill>
          </w14:textFill>
        </w:rPr>
      </w:pPr>
    </w:p>
    <w:p w14:paraId="301C48A2">
      <w:pPr>
        <w:pStyle w:val="59"/>
        <w:spacing w:line="360" w:lineRule="auto"/>
        <w:ind w:firstLine="480"/>
        <w:rPr>
          <w:rFonts w:ascii="宋体" w:hAnsi="宋体"/>
          <w:color w:val="000000" w:themeColor="text1"/>
          <w:sz w:val="24"/>
          <w:u w:val="single"/>
          <w14:textFill>
            <w14:solidFill>
              <w14:schemeClr w14:val="tx1"/>
            </w14:solidFill>
          </w14:textFill>
        </w:rPr>
      </w:pPr>
    </w:p>
    <w:p w14:paraId="481B3103">
      <w:pPr>
        <w:pStyle w:val="59"/>
        <w:spacing w:line="360" w:lineRule="auto"/>
        <w:ind w:firstLine="480"/>
        <w:rPr>
          <w:rFonts w:ascii="宋体" w:hAnsi="宋体"/>
          <w:color w:val="000000" w:themeColor="text1"/>
          <w:sz w:val="24"/>
          <w:u w:val="single"/>
          <w14:textFill>
            <w14:solidFill>
              <w14:schemeClr w14:val="tx1"/>
            </w14:solidFill>
          </w14:textFill>
        </w:rPr>
      </w:pPr>
    </w:p>
    <w:p w14:paraId="563428D7">
      <w:pPr>
        <w:pStyle w:val="59"/>
        <w:spacing w:line="360" w:lineRule="auto"/>
        <w:ind w:firstLine="480"/>
        <w:rPr>
          <w:rFonts w:ascii="宋体" w:hAnsi="宋体"/>
          <w:color w:val="000000" w:themeColor="text1"/>
          <w:sz w:val="24"/>
          <w:u w:val="single"/>
          <w14:textFill>
            <w14:solidFill>
              <w14:schemeClr w14:val="tx1"/>
            </w14:solidFill>
          </w14:textFill>
        </w:rPr>
      </w:pPr>
    </w:p>
    <w:p w14:paraId="2A0F9766">
      <w:pPr>
        <w:pStyle w:val="59"/>
        <w:spacing w:line="360" w:lineRule="auto"/>
        <w:ind w:firstLine="480"/>
        <w:rPr>
          <w:rFonts w:ascii="宋体" w:hAnsi="宋体"/>
          <w:color w:val="000000" w:themeColor="text1"/>
          <w:sz w:val="24"/>
          <w:u w:val="single"/>
          <w14:textFill>
            <w14:solidFill>
              <w14:schemeClr w14:val="tx1"/>
            </w14:solidFill>
          </w14:textFill>
        </w:rPr>
      </w:pPr>
    </w:p>
    <w:p w14:paraId="332FEEFC">
      <w:pPr>
        <w:pStyle w:val="59"/>
        <w:spacing w:line="360" w:lineRule="auto"/>
        <w:ind w:firstLine="480"/>
        <w:rPr>
          <w:rFonts w:ascii="宋体" w:hAnsi="宋体"/>
          <w:color w:val="000000" w:themeColor="text1"/>
          <w:sz w:val="24"/>
          <w:u w:val="single"/>
          <w14:textFill>
            <w14:solidFill>
              <w14:schemeClr w14:val="tx1"/>
            </w14:solidFill>
          </w14:textFill>
        </w:rPr>
      </w:pPr>
    </w:p>
    <w:p w14:paraId="50F00599">
      <w:pPr>
        <w:pStyle w:val="59"/>
        <w:spacing w:line="360" w:lineRule="auto"/>
        <w:ind w:firstLine="480"/>
        <w:rPr>
          <w:rFonts w:ascii="宋体" w:hAnsi="宋体"/>
          <w:color w:val="000000" w:themeColor="text1"/>
          <w:sz w:val="24"/>
          <w:u w:val="single"/>
          <w14:textFill>
            <w14:solidFill>
              <w14:schemeClr w14:val="tx1"/>
            </w14:solidFill>
          </w14:textFill>
        </w:rPr>
      </w:pPr>
    </w:p>
    <w:p w14:paraId="2313A66F">
      <w:pPr>
        <w:pStyle w:val="59"/>
        <w:spacing w:line="360" w:lineRule="auto"/>
        <w:ind w:firstLine="480"/>
        <w:rPr>
          <w:rFonts w:ascii="宋体" w:hAnsi="宋体"/>
          <w:color w:val="000000" w:themeColor="text1"/>
          <w:sz w:val="24"/>
          <w:u w:val="single"/>
          <w14:textFill>
            <w14:solidFill>
              <w14:schemeClr w14:val="tx1"/>
            </w14:solidFill>
          </w14:textFill>
        </w:rPr>
      </w:pPr>
    </w:p>
    <w:p w14:paraId="43E4C0B9">
      <w:pPr>
        <w:pStyle w:val="59"/>
        <w:spacing w:line="360" w:lineRule="auto"/>
        <w:ind w:firstLine="480"/>
        <w:rPr>
          <w:rFonts w:ascii="宋体" w:hAnsi="宋体"/>
          <w:color w:val="000000" w:themeColor="text1"/>
          <w:sz w:val="24"/>
          <w:u w:val="single"/>
          <w14:textFill>
            <w14:solidFill>
              <w14:schemeClr w14:val="tx1"/>
            </w14:solidFill>
          </w14:textFill>
        </w:rPr>
      </w:pPr>
    </w:p>
    <w:p w14:paraId="39C24F3A">
      <w:pPr>
        <w:pStyle w:val="59"/>
        <w:spacing w:line="360" w:lineRule="auto"/>
        <w:ind w:firstLine="480"/>
        <w:rPr>
          <w:rFonts w:ascii="宋体" w:hAnsi="宋体"/>
          <w:color w:val="000000" w:themeColor="text1"/>
          <w:sz w:val="24"/>
          <w:u w:val="single"/>
          <w14:textFill>
            <w14:solidFill>
              <w14:schemeClr w14:val="tx1"/>
            </w14:solidFill>
          </w14:textFill>
        </w:rPr>
      </w:pPr>
    </w:p>
    <w:p w14:paraId="6E662BA0">
      <w:pPr>
        <w:pStyle w:val="59"/>
        <w:spacing w:line="360" w:lineRule="auto"/>
        <w:ind w:firstLine="480"/>
        <w:rPr>
          <w:rFonts w:ascii="宋体" w:hAnsi="宋体"/>
          <w:color w:val="000000" w:themeColor="text1"/>
          <w:sz w:val="24"/>
          <w:u w:val="single"/>
          <w14:textFill>
            <w14:solidFill>
              <w14:schemeClr w14:val="tx1"/>
            </w14:solidFill>
          </w14:textFill>
        </w:rPr>
      </w:pPr>
    </w:p>
    <w:p w14:paraId="60A484DF">
      <w:pPr>
        <w:pStyle w:val="59"/>
        <w:spacing w:line="360" w:lineRule="auto"/>
        <w:ind w:firstLine="480"/>
        <w:rPr>
          <w:rFonts w:ascii="宋体" w:hAnsi="宋体"/>
          <w:color w:val="000000" w:themeColor="text1"/>
          <w:sz w:val="24"/>
          <w:u w:val="single"/>
          <w14:textFill>
            <w14:solidFill>
              <w14:schemeClr w14:val="tx1"/>
            </w14:solidFill>
          </w14:textFill>
        </w:rPr>
      </w:pPr>
    </w:p>
    <w:p w14:paraId="228A40A5">
      <w:pPr>
        <w:pStyle w:val="59"/>
        <w:spacing w:line="360" w:lineRule="auto"/>
        <w:ind w:firstLine="480"/>
        <w:rPr>
          <w:rFonts w:ascii="宋体" w:hAnsi="宋体"/>
          <w:color w:val="000000" w:themeColor="text1"/>
          <w:sz w:val="24"/>
          <w:u w:val="single"/>
          <w14:textFill>
            <w14:solidFill>
              <w14:schemeClr w14:val="tx1"/>
            </w14:solidFill>
          </w14:textFill>
        </w:rPr>
      </w:pPr>
    </w:p>
    <w:p w14:paraId="4338D284">
      <w:pPr>
        <w:pStyle w:val="7"/>
        <w:ind w:firstLine="0"/>
      </w:pPr>
    </w:p>
    <w:p w14:paraId="15F5C776">
      <w:pPr>
        <w:pStyle w:val="7"/>
      </w:pPr>
    </w:p>
    <w:p w14:paraId="2514DDCE">
      <w:pPr>
        <w:pStyle w:val="7"/>
      </w:pPr>
    </w:p>
    <w:p w14:paraId="434A579C">
      <w:pPr>
        <w:pStyle w:val="7"/>
      </w:pPr>
    </w:p>
    <w:p w14:paraId="3C4B56D0">
      <w:pPr>
        <w:pStyle w:val="7"/>
      </w:pPr>
    </w:p>
    <w:p w14:paraId="3D59B31D">
      <w:pPr>
        <w:jc w:val="center"/>
        <w:outlineLvl w:val="2"/>
        <w:rPr>
          <w:rFonts w:ascii="Times New Roman" w:hAnsi="Times New Roman" w:eastAsia="宋体" w:cs="Times New Roman"/>
          <w:sz w:val="28"/>
          <w:szCs w:val="28"/>
        </w:rPr>
      </w:pPr>
    </w:p>
    <w:p w14:paraId="35393E2C">
      <w:pPr>
        <w:jc w:val="center"/>
        <w:outlineLvl w:val="2"/>
        <w:rPr>
          <w:rFonts w:ascii="Times New Roman" w:hAnsi="Times New Roman" w:eastAsia="宋体" w:cs="Times New Roman"/>
          <w:sz w:val="28"/>
          <w:szCs w:val="28"/>
        </w:rPr>
      </w:pPr>
    </w:p>
    <w:p w14:paraId="7012E144">
      <w:pPr>
        <w:jc w:val="center"/>
        <w:outlineLvl w:val="2"/>
        <w:rPr>
          <w:rFonts w:ascii="Times New Roman" w:hAnsi="Times New Roman" w:eastAsia="宋体" w:cs="Times New Roman"/>
          <w:sz w:val="28"/>
          <w:szCs w:val="28"/>
        </w:rPr>
      </w:pPr>
    </w:p>
    <w:p w14:paraId="75F0FD19">
      <w:pPr>
        <w:jc w:val="center"/>
        <w:outlineLvl w:val="2"/>
        <w:rPr>
          <w:rFonts w:ascii="Times New Roman" w:hAnsi="Times New Roman" w:eastAsia="宋体" w:cs="Times New Roman"/>
          <w:sz w:val="28"/>
          <w:szCs w:val="28"/>
        </w:rPr>
      </w:pPr>
      <w:bookmarkStart w:id="182" w:name="_Toc211511506"/>
      <w:r>
        <w:rPr>
          <w:rFonts w:hint="eastAsia" w:ascii="Times New Roman" w:hAnsi="Times New Roman" w:eastAsia="宋体" w:cs="Times New Roman"/>
          <w:sz w:val="28"/>
          <w:szCs w:val="28"/>
        </w:rPr>
        <w:t>（五）首次报价一览表</w:t>
      </w:r>
      <w:bookmarkEnd w:id="182"/>
    </w:p>
    <w:p w14:paraId="392A9E8B">
      <w:pPr>
        <w:jc w:val="center"/>
        <w:rPr>
          <w:b/>
          <w:bCs/>
          <w:sz w:val="28"/>
          <w:szCs w:val="28"/>
        </w:rPr>
      </w:pPr>
      <w:r>
        <w:rPr>
          <w:b/>
          <w:bCs/>
          <w:sz w:val="28"/>
          <w:szCs w:val="28"/>
        </w:rPr>
        <w:t>首次报价一览表</w:t>
      </w:r>
    </w:p>
    <w:p w14:paraId="33111B14">
      <w:pPr>
        <w:spacing w:line="346" w:lineRule="auto"/>
        <w:rPr>
          <w:rFonts w:ascii="Arial"/>
        </w:rPr>
      </w:pPr>
    </w:p>
    <w:p w14:paraId="3248AD47">
      <w:r>
        <w:t>单位名称(加盖公章):</w:t>
      </w:r>
    </w:p>
    <w:tbl>
      <w:tblPr>
        <w:tblStyle w:val="31"/>
        <w:tblW w:w="8969" w:type="dxa"/>
        <w:tblInd w:w="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729"/>
        <w:gridCol w:w="4240"/>
      </w:tblGrid>
      <w:tr w14:paraId="66FD72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3" w:hRule="atLeast"/>
        </w:trPr>
        <w:tc>
          <w:tcPr>
            <w:tcW w:w="4729" w:type="dxa"/>
            <w:vAlign w:val="center"/>
          </w:tcPr>
          <w:p w14:paraId="292C3C8F">
            <w:pPr>
              <w:jc w:val="center"/>
            </w:pPr>
          </w:p>
          <w:p w14:paraId="211C0388">
            <w:pPr>
              <w:jc w:val="center"/>
            </w:pPr>
            <w:r>
              <w:t>标题</w:t>
            </w:r>
          </w:p>
        </w:tc>
        <w:tc>
          <w:tcPr>
            <w:tcW w:w="4240" w:type="dxa"/>
            <w:vAlign w:val="center"/>
          </w:tcPr>
          <w:p w14:paraId="4AC03A1E">
            <w:pPr>
              <w:jc w:val="center"/>
            </w:pPr>
          </w:p>
          <w:p w14:paraId="4B827633">
            <w:pPr>
              <w:jc w:val="center"/>
            </w:pPr>
            <w:r>
              <w:t>内容</w:t>
            </w:r>
          </w:p>
        </w:tc>
      </w:tr>
      <w:tr w14:paraId="5A0F8E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8" w:hRule="atLeast"/>
        </w:trPr>
        <w:tc>
          <w:tcPr>
            <w:tcW w:w="4729" w:type="dxa"/>
            <w:vAlign w:val="center"/>
          </w:tcPr>
          <w:p w14:paraId="24202D8B">
            <w:pPr>
              <w:jc w:val="center"/>
            </w:pPr>
          </w:p>
          <w:p w14:paraId="017FE852">
            <w:pPr>
              <w:jc w:val="center"/>
            </w:pPr>
            <w:r>
              <w:t>单位名称</w:t>
            </w:r>
          </w:p>
        </w:tc>
        <w:tc>
          <w:tcPr>
            <w:tcW w:w="4240" w:type="dxa"/>
            <w:vAlign w:val="center"/>
          </w:tcPr>
          <w:p w14:paraId="23003575">
            <w:pPr>
              <w:jc w:val="center"/>
            </w:pPr>
          </w:p>
        </w:tc>
      </w:tr>
      <w:tr w14:paraId="2687C1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8" w:hRule="atLeast"/>
        </w:trPr>
        <w:tc>
          <w:tcPr>
            <w:tcW w:w="4729" w:type="dxa"/>
            <w:vAlign w:val="center"/>
          </w:tcPr>
          <w:p w14:paraId="21E0E7D7">
            <w:pPr>
              <w:jc w:val="center"/>
            </w:pPr>
          </w:p>
          <w:p w14:paraId="4C2AD741">
            <w:pPr>
              <w:jc w:val="center"/>
            </w:pPr>
            <w:r>
              <w:t>服务期</w:t>
            </w:r>
          </w:p>
        </w:tc>
        <w:tc>
          <w:tcPr>
            <w:tcW w:w="4240" w:type="dxa"/>
            <w:vAlign w:val="center"/>
          </w:tcPr>
          <w:p w14:paraId="2290C2A4">
            <w:pPr>
              <w:jc w:val="center"/>
            </w:pPr>
          </w:p>
        </w:tc>
      </w:tr>
      <w:tr w14:paraId="3A088B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8" w:hRule="atLeast"/>
        </w:trPr>
        <w:tc>
          <w:tcPr>
            <w:tcW w:w="4729" w:type="dxa"/>
            <w:vAlign w:val="center"/>
          </w:tcPr>
          <w:p w14:paraId="17DAFB37">
            <w:pPr>
              <w:jc w:val="center"/>
            </w:pPr>
            <w:r>
              <w:rPr>
                <w:rFonts w:hint="eastAsia"/>
              </w:rPr>
              <w:t>项目总监理工程师</w:t>
            </w:r>
          </w:p>
        </w:tc>
        <w:tc>
          <w:tcPr>
            <w:tcW w:w="4240" w:type="dxa"/>
            <w:vAlign w:val="center"/>
          </w:tcPr>
          <w:p w14:paraId="46E42913">
            <w:pPr>
              <w:jc w:val="center"/>
            </w:pPr>
          </w:p>
        </w:tc>
      </w:tr>
      <w:tr w14:paraId="757ECE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8" w:hRule="atLeast"/>
        </w:trPr>
        <w:tc>
          <w:tcPr>
            <w:tcW w:w="4729" w:type="dxa"/>
            <w:vAlign w:val="center"/>
          </w:tcPr>
          <w:p w14:paraId="4125A656">
            <w:pPr>
              <w:jc w:val="center"/>
            </w:pPr>
          </w:p>
          <w:p w14:paraId="5C6B03A9">
            <w:pPr>
              <w:jc w:val="center"/>
            </w:pPr>
            <w:r>
              <w:t>项目总报价大写</w:t>
            </w:r>
          </w:p>
        </w:tc>
        <w:tc>
          <w:tcPr>
            <w:tcW w:w="4240" w:type="dxa"/>
            <w:vAlign w:val="center"/>
          </w:tcPr>
          <w:p w14:paraId="1078631B">
            <w:pPr>
              <w:jc w:val="center"/>
            </w:pPr>
          </w:p>
        </w:tc>
      </w:tr>
      <w:tr w14:paraId="5AE001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2" w:hRule="atLeast"/>
        </w:trPr>
        <w:tc>
          <w:tcPr>
            <w:tcW w:w="4729" w:type="dxa"/>
            <w:vAlign w:val="center"/>
          </w:tcPr>
          <w:p w14:paraId="1CB8D6F0">
            <w:pPr>
              <w:jc w:val="center"/>
            </w:pPr>
          </w:p>
          <w:p w14:paraId="7A1A8462">
            <w:pPr>
              <w:jc w:val="center"/>
            </w:pPr>
            <w:r>
              <w:t>项目总报价小写</w:t>
            </w:r>
          </w:p>
        </w:tc>
        <w:tc>
          <w:tcPr>
            <w:tcW w:w="4240" w:type="dxa"/>
            <w:vAlign w:val="center"/>
          </w:tcPr>
          <w:p w14:paraId="6655A394">
            <w:pPr>
              <w:jc w:val="center"/>
            </w:pPr>
          </w:p>
          <w:p w14:paraId="7E7147E4">
            <w:pPr>
              <w:jc w:val="center"/>
            </w:pPr>
            <w:r>
              <w:t>元</w:t>
            </w:r>
          </w:p>
        </w:tc>
      </w:tr>
    </w:tbl>
    <w:p w14:paraId="38706D66">
      <w:pPr>
        <w:spacing w:line="360" w:lineRule="auto"/>
        <w:ind w:right="1960"/>
        <w:rPr>
          <w:sz w:val="28"/>
          <w:szCs w:val="28"/>
        </w:rPr>
      </w:pPr>
    </w:p>
    <w:p w14:paraId="4C21BB25">
      <w:pPr>
        <w:spacing w:line="360" w:lineRule="auto"/>
        <w:jc w:val="right"/>
        <w:rPr>
          <w:sz w:val="28"/>
          <w:szCs w:val="28"/>
        </w:rPr>
      </w:pPr>
    </w:p>
    <w:p w14:paraId="45155328">
      <w:pPr>
        <w:spacing w:line="360" w:lineRule="auto"/>
        <w:jc w:val="right"/>
        <w:rPr>
          <w:sz w:val="28"/>
          <w:szCs w:val="28"/>
        </w:rPr>
      </w:pPr>
      <w:r>
        <w:rPr>
          <w:sz w:val="28"/>
          <w:szCs w:val="28"/>
        </w:rPr>
        <w:t>法定代表人签章：</w:t>
      </w:r>
    </w:p>
    <w:p w14:paraId="4EC319FD">
      <w:pPr>
        <w:spacing w:line="360" w:lineRule="auto"/>
        <w:jc w:val="right"/>
        <w:rPr>
          <w:sz w:val="28"/>
          <w:szCs w:val="28"/>
        </w:rPr>
      </w:pPr>
      <w:r>
        <w:rPr>
          <w:sz w:val="28"/>
          <w:szCs w:val="28"/>
        </w:rPr>
        <w:t>日期：</w:t>
      </w:r>
    </w:p>
    <w:p w14:paraId="6B6FAE02">
      <w:pPr>
        <w:pStyle w:val="15"/>
      </w:pPr>
    </w:p>
    <w:p w14:paraId="03F51398">
      <w:pPr>
        <w:jc w:val="left"/>
      </w:pPr>
      <w:r>
        <w:rPr>
          <w:rFonts w:hint="eastAsia"/>
        </w:rPr>
        <w:t>注：1、最终报价将在系统中进行，请各响应供应商保持通讯畅通，随时关注系统通知，如果供应商在</w:t>
      </w:r>
      <w:r>
        <w:t>规定的时间内</w:t>
      </w:r>
      <w:r>
        <w:rPr>
          <w:rFonts w:hint="eastAsia"/>
        </w:rPr>
        <w:t>不上传二次报价，“苏采云”系统则会认为其为无效响应供应商。</w:t>
      </w:r>
    </w:p>
    <w:p w14:paraId="36736808">
      <w:pPr>
        <w:jc w:val="left"/>
        <w:sectPr>
          <w:headerReference r:id="rId23" w:type="default"/>
          <w:footerReference r:id="rId24" w:type="default"/>
          <w:pgSz w:w="11900" w:h="16840"/>
          <w:pgMar w:top="400" w:right="1239" w:bottom="1391" w:left="1190" w:header="0" w:footer="1262" w:gutter="0"/>
          <w:cols w:space="720" w:num="1"/>
        </w:sectPr>
      </w:pPr>
      <w:r>
        <w:rPr>
          <w:rFonts w:hint="eastAsia"/>
        </w:rPr>
        <w:t>2、响应总报价包括采购文件所确定的采购需求的全部内容，包括本次磋商要求提供服务已支付或将支付的所有费用。</w:t>
      </w:r>
    </w:p>
    <w:p w14:paraId="7F4F6DF6">
      <w:pPr>
        <w:pStyle w:val="3"/>
        <w:spacing w:line="360" w:lineRule="auto"/>
        <w:jc w:val="center"/>
      </w:pPr>
      <w:bookmarkStart w:id="183" w:name="_Toc211511507"/>
      <w:r>
        <w:rPr>
          <w:rFonts w:hint="eastAsia"/>
        </w:rPr>
        <w:t>四、其它部分</w:t>
      </w:r>
      <w:bookmarkEnd w:id="183"/>
    </w:p>
    <w:p w14:paraId="253A76F2">
      <w:pPr>
        <w:pStyle w:val="7"/>
        <w:sectPr>
          <w:pgSz w:w="11906" w:h="16838"/>
          <w:pgMar w:top="1440" w:right="1242" w:bottom="1440" w:left="1242" w:header="851" w:footer="992" w:gutter="0"/>
          <w:cols w:space="425" w:num="1"/>
          <w:docGrid w:type="lines" w:linePitch="312" w:charSpace="0"/>
        </w:sectPr>
      </w:pPr>
    </w:p>
    <w:p w14:paraId="4EF1F010">
      <w:pPr>
        <w:jc w:val="center"/>
        <w:outlineLvl w:val="2"/>
        <w:rPr>
          <w:rFonts w:ascii="Times New Roman" w:hAnsi="Times New Roman" w:eastAsia="宋体" w:cs="Times New Roman"/>
          <w:sz w:val="28"/>
          <w:szCs w:val="28"/>
        </w:rPr>
      </w:pPr>
      <w:bookmarkStart w:id="184" w:name="_Toc211511508"/>
      <w:r>
        <w:rPr>
          <w:rFonts w:hint="eastAsia" w:ascii="Times New Roman" w:hAnsi="Times New Roman" w:eastAsia="宋体" w:cs="Times New Roman"/>
          <w:sz w:val="28"/>
          <w:szCs w:val="28"/>
        </w:rPr>
        <w:t>(一)中小企业声明函</w:t>
      </w:r>
      <w:bookmarkEnd w:id="184"/>
    </w:p>
    <w:p w14:paraId="2BEA5505">
      <w:pPr>
        <w:spacing w:line="360" w:lineRule="auto"/>
        <w:ind w:firstLine="480" w:firstLineChars="200"/>
        <w:rPr>
          <w:rFonts w:hint="eastAsia" w:ascii="宋体" w:hAnsi="宋体" w:eastAsia="宋体" w:cs="宋体"/>
          <w:sz w:val="24"/>
        </w:rPr>
      </w:pPr>
    </w:p>
    <w:p w14:paraId="329380F6">
      <w:pPr>
        <w:spacing w:line="360" w:lineRule="auto"/>
        <w:ind w:firstLine="480" w:firstLineChars="200"/>
        <w:rPr>
          <w:rFonts w:ascii="宋体" w:hAnsi="宋体" w:eastAsia="宋体" w:cs="宋体"/>
          <w:sz w:val="24"/>
        </w:rPr>
      </w:pPr>
      <w:r>
        <w:rPr>
          <w:rFonts w:hint="eastAsia" w:ascii="宋体" w:hAnsi="宋体" w:eastAsia="宋体" w:cs="宋体"/>
          <w:sz w:val="24"/>
        </w:rPr>
        <w:t>本公司（联合体）郑重声明，根据《政府采购促进中小企业发展管理办法》(财库(2020)46号)的规定，本公司（联合体）参加</w:t>
      </w:r>
      <w:r>
        <w:rPr>
          <w:rFonts w:hint="eastAsia" w:ascii="宋体" w:hAnsi="宋体" w:eastAsia="宋体" w:cs="宋体"/>
          <w:sz w:val="24"/>
          <w:u w:val="single"/>
        </w:rPr>
        <w:t>(单位名称</w:t>
      </w:r>
      <w:r>
        <w:rPr>
          <w:rFonts w:hint="eastAsia" w:ascii="宋体" w:hAnsi="宋体" w:eastAsia="宋体" w:cs="宋体"/>
          <w:sz w:val="24"/>
        </w:rPr>
        <w:t>)的</w:t>
      </w:r>
      <w:r>
        <w:rPr>
          <w:rFonts w:hint="eastAsia" w:ascii="宋体" w:hAnsi="宋体" w:eastAsia="宋体" w:cs="宋体"/>
          <w:sz w:val="24"/>
          <w:u w:val="single"/>
        </w:rPr>
        <w:t>(项目名称)</w:t>
      </w:r>
      <w:r>
        <w:rPr>
          <w:rFonts w:hint="eastAsia" w:ascii="宋体" w:hAnsi="宋体" w:eastAsia="宋体" w:cs="宋体"/>
          <w:sz w:val="24"/>
        </w:rPr>
        <w:t>采购活动，服务全部由符合政策要求的中小企业承接。相关企业(含联合体中的中小企业、签订分包意向协议的中小企业)的具体情况如下：</w:t>
      </w:r>
    </w:p>
    <w:p w14:paraId="5FC72D77">
      <w:pPr>
        <w:spacing w:line="360" w:lineRule="auto"/>
        <w:ind w:firstLine="480" w:firstLineChars="200"/>
        <w:rPr>
          <w:rFonts w:ascii="宋体" w:hAnsi="宋体" w:eastAsia="宋体" w:cs="宋体"/>
          <w:sz w:val="24"/>
        </w:rPr>
      </w:pPr>
      <w:r>
        <w:rPr>
          <w:rFonts w:hint="eastAsia" w:ascii="宋体" w:hAnsi="宋体" w:eastAsia="宋体" w:cs="宋体"/>
          <w:sz w:val="24"/>
        </w:rPr>
        <w:t>1.</w:t>
      </w:r>
      <w:r>
        <w:rPr>
          <w:rFonts w:hint="eastAsia" w:ascii="宋体" w:hAnsi="宋体" w:eastAsia="宋体" w:cs="宋体"/>
          <w:sz w:val="24"/>
          <w:u w:val="single"/>
        </w:rPr>
        <w:t>(标的名称)</w:t>
      </w:r>
      <w:r>
        <w:rPr>
          <w:rFonts w:hint="eastAsia" w:ascii="宋体" w:hAnsi="宋体" w:eastAsia="宋体" w:cs="宋体"/>
          <w:sz w:val="24"/>
        </w:rPr>
        <w:t>,属于</w:t>
      </w:r>
      <w:r>
        <w:rPr>
          <w:rFonts w:hint="eastAsia" w:ascii="宋体" w:hAnsi="宋体" w:eastAsia="宋体" w:cs="宋体"/>
          <w:sz w:val="24"/>
          <w:u w:val="single"/>
        </w:rPr>
        <w:t>(采购文件中明确的所属行业：</w:t>
      </w:r>
      <w:r>
        <w:rPr>
          <w:rFonts w:hint="eastAsia" w:ascii="宋体" w:hAnsi="宋体" w:eastAsia="宋体" w:cs="宋体"/>
          <w:sz w:val="24"/>
          <w:u w:val="single"/>
          <w:lang w:eastAsia="zh-CN"/>
        </w:rPr>
        <w:t>租赁和商务服务业</w:t>
      </w:r>
      <w:r>
        <w:rPr>
          <w:rFonts w:hint="eastAsia" w:ascii="宋体" w:hAnsi="宋体" w:eastAsia="宋体" w:cs="宋体"/>
          <w:sz w:val="24"/>
          <w:u w:val="single"/>
        </w:rPr>
        <w:t>)</w:t>
      </w:r>
      <w:r>
        <w:rPr>
          <w:rFonts w:hint="eastAsia" w:ascii="宋体" w:hAnsi="宋体" w:eastAsia="宋体" w:cs="宋体"/>
          <w:sz w:val="24"/>
        </w:rPr>
        <w:t>;承接企业为</w:t>
      </w:r>
      <w:r>
        <w:rPr>
          <w:rFonts w:hint="eastAsia" w:ascii="宋体" w:hAnsi="宋体" w:eastAsia="宋体" w:cs="宋体"/>
          <w:sz w:val="24"/>
          <w:u w:val="single"/>
        </w:rPr>
        <w:t>(企业名称)</w:t>
      </w:r>
      <w:r>
        <w:rPr>
          <w:rFonts w:hint="eastAsia" w:ascii="宋体" w:hAnsi="宋体" w:eastAsia="宋体" w:cs="宋体"/>
          <w:sz w:val="24"/>
        </w:rPr>
        <w:t>,从业人员人，营业收入为万元，资产总额为万元，属于</w:t>
      </w:r>
      <w:r>
        <w:rPr>
          <w:rFonts w:hint="eastAsia" w:ascii="宋体" w:hAnsi="宋体" w:eastAsia="宋体" w:cs="宋体"/>
          <w:sz w:val="24"/>
          <w:u w:val="single"/>
        </w:rPr>
        <w:t>(中型企业、小型企业、微型企业)</w:t>
      </w:r>
      <w:r>
        <w:rPr>
          <w:rFonts w:hint="eastAsia" w:ascii="宋体" w:hAnsi="宋体" w:eastAsia="宋体" w:cs="宋体"/>
          <w:sz w:val="24"/>
        </w:rPr>
        <w:t>;</w:t>
      </w:r>
    </w:p>
    <w:p w14:paraId="77280EBC">
      <w:pPr>
        <w:spacing w:line="360" w:lineRule="auto"/>
        <w:ind w:firstLine="480" w:firstLineChars="200"/>
        <w:rPr>
          <w:rFonts w:ascii="宋体" w:hAnsi="宋体" w:eastAsia="宋体" w:cs="宋体"/>
          <w:sz w:val="24"/>
        </w:rPr>
      </w:pPr>
      <w:r>
        <w:rPr>
          <w:rFonts w:hint="eastAsia" w:ascii="宋体" w:hAnsi="宋体" w:eastAsia="宋体" w:cs="宋体"/>
          <w:sz w:val="24"/>
        </w:rPr>
        <w:t>2.</w:t>
      </w:r>
      <w:r>
        <w:rPr>
          <w:rFonts w:hint="eastAsia" w:ascii="宋体" w:hAnsi="宋体" w:eastAsia="宋体" w:cs="宋体"/>
          <w:sz w:val="24"/>
          <w:u w:val="single"/>
        </w:rPr>
        <w:t>(标的名称)</w:t>
      </w:r>
      <w:r>
        <w:rPr>
          <w:rFonts w:hint="eastAsia" w:ascii="宋体" w:hAnsi="宋体" w:eastAsia="宋体" w:cs="宋体"/>
          <w:sz w:val="24"/>
        </w:rPr>
        <w:t>,属于</w:t>
      </w:r>
      <w:r>
        <w:rPr>
          <w:rFonts w:hint="eastAsia" w:ascii="宋体" w:hAnsi="宋体" w:eastAsia="宋体" w:cs="宋体"/>
          <w:sz w:val="24"/>
          <w:u w:val="single"/>
        </w:rPr>
        <w:t>(采购文件中明确的所属行业：</w:t>
      </w:r>
      <w:r>
        <w:rPr>
          <w:rFonts w:hint="eastAsia" w:ascii="宋体" w:hAnsi="宋体" w:eastAsia="宋体" w:cs="宋体"/>
          <w:sz w:val="24"/>
          <w:u w:val="single"/>
          <w:lang w:eastAsia="zh-CN"/>
        </w:rPr>
        <w:t>租赁和商务服务业</w:t>
      </w:r>
      <w:r>
        <w:rPr>
          <w:rFonts w:hint="eastAsia" w:ascii="宋体" w:hAnsi="宋体" w:eastAsia="宋体" w:cs="宋体"/>
          <w:sz w:val="24"/>
          <w:u w:val="single"/>
        </w:rPr>
        <w:t>)</w:t>
      </w:r>
      <w:r>
        <w:rPr>
          <w:rFonts w:hint="eastAsia" w:ascii="宋体" w:hAnsi="宋体" w:eastAsia="宋体" w:cs="宋体"/>
          <w:sz w:val="24"/>
        </w:rPr>
        <w:t>;承接企业为</w:t>
      </w:r>
      <w:r>
        <w:rPr>
          <w:rFonts w:hint="eastAsia" w:ascii="宋体" w:hAnsi="宋体" w:eastAsia="宋体" w:cs="宋体"/>
          <w:sz w:val="24"/>
          <w:u w:val="single"/>
        </w:rPr>
        <w:t>(企业名称)</w:t>
      </w:r>
      <w:r>
        <w:rPr>
          <w:rFonts w:hint="eastAsia" w:ascii="宋体" w:hAnsi="宋体" w:eastAsia="宋体" w:cs="宋体"/>
          <w:sz w:val="24"/>
        </w:rPr>
        <w:t>,从业人员人，营业收入为万元，资产总额为万元，属于</w:t>
      </w:r>
      <w:r>
        <w:rPr>
          <w:rFonts w:hint="eastAsia" w:ascii="宋体" w:hAnsi="宋体" w:eastAsia="宋体" w:cs="宋体"/>
          <w:sz w:val="24"/>
          <w:u w:val="single"/>
        </w:rPr>
        <w:t>(中型企业、小型企业、微型企业)</w:t>
      </w:r>
      <w:r>
        <w:rPr>
          <w:rFonts w:hint="eastAsia" w:ascii="宋体" w:hAnsi="宋体" w:eastAsia="宋体" w:cs="宋体"/>
          <w:sz w:val="24"/>
        </w:rPr>
        <w:t>;</w:t>
      </w:r>
    </w:p>
    <w:p w14:paraId="56CA40B3">
      <w:pPr>
        <w:spacing w:line="360" w:lineRule="auto"/>
        <w:ind w:firstLine="480" w:firstLineChars="200"/>
        <w:rPr>
          <w:rFonts w:ascii="宋体" w:hAnsi="宋体" w:eastAsia="宋体" w:cs="宋体"/>
          <w:sz w:val="24"/>
        </w:rPr>
      </w:pPr>
      <w:r>
        <w:rPr>
          <w:rFonts w:hint="eastAsia" w:ascii="宋体" w:hAnsi="宋体" w:eastAsia="宋体" w:cs="宋体"/>
          <w:sz w:val="24"/>
        </w:rPr>
        <w:t>......</w:t>
      </w:r>
    </w:p>
    <w:p w14:paraId="2820FD5A">
      <w:pPr>
        <w:spacing w:line="360" w:lineRule="auto"/>
        <w:ind w:firstLine="480" w:firstLineChars="200"/>
        <w:rPr>
          <w:rFonts w:ascii="宋体" w:hAnsi="宋体" w:eastAsia="宋体" w:cs="宋体"/>
          <w:sz w:val="24"/>
        </w:rPr>
      </w:pPr>
      <w:r>
        <w:rPr>
          <w:rFonts w:hint="eastAsia" w:ascii="宋体" w:hAnsi="宋体" w:eastAsia="宋体" w:cs="宋体"/>
          <w:sz w:val="24"/>
        </w:rPr>
        <w:t>以上企业，不属于大企业的分支机构，不存在控股股东为大企业的情形，也不存在与大企业的负责人为同一人的情形。</w:t>
      </w:r>
    </w:p>
    <w:p w14:paraId="14A435DF">
      <w:pPr>
        <w:spacing w:line="360" w:lineRule="auto"/>
        <w:ind w:firstLine="480" w:firstLineChars="200"/>
        <w:rPr>
          <w:rFonts w:ascii="宋体" w:hAnsi="宋体" w:eastAsia="宋体" w:cs="宋体"/>
          <w:sz w:val="24"/>
        </w:rPr>
      </w:pPr>
      <w:r>
        <w:rPr>
          <w:rFonts w:hint="eastAsia" w:ascii="宋体" w:hAnsi="宋体" w:eastAsia="宋体" w:cs="宋体"/>
          <w:sz w:val="24"/>
        </w:rPr>
        <w:t>本企业对上述声明内容的真实性负责。如有虚假，将依法承担相应责任。</w:t>
      </w:r>
    </w:p>
    <w:p w14:paraId="7AB36D1F">
      <w:pPr>
        <w:spacing w:line="360" w:lineRule="auto"/>
        <w:ind w:firstLine="480" w:firstLineChars="200"/>
        <w:rPr>
          <w:rFonts w:ascii="宋体" w:hAnsi="宋体" w:eastAsia="宋体" w:cs="宋体"/>
          <w:sz w:val="24"/>
        </w:rPr>
      </w:pPr>
    </w:p>
    <w:p w14:paraId="506E388B">
      <w:pPr>
        <w:spacing w:line="360" w:lineRule="auto"/>
        <w:ind w:firstLine="480" w:firstLineChars="200"/>
        <w:rPr>
          <w:rFonts w:ascii="宋体" w:hAnsi="宋体" w:eastAsia="宋体" w:cs="宋体"/>
          <w:sz w:val="24"/>
        </w:rPr>
      </w:pPr>
    </w:p>
    <w:p w14:paraId="2F7C171F">
      <w:pPr>
        <w:spacing w:line="360" w:lineRule="auto"/>
        <w:ind w:firstLine="480" w:firstLineChars="200"/>
        <w:rPr>
          <w:rFonts w:ascii="宋体" w:hAnsi="宋体" w:eastAsia="宋体" w:cs="宋体"/>
          <w:sz w:val="24"/>
        </w:rPr>
      </w:pPr>
      <w:r>
        <w:rPr>
          <w:rFonts w:hint="eastAsia" w:ascii="宋体" w:hAnsi="宋体" w:eastAsia="宋体" w:cs="宋体"/>
          <w:sz w:val="24"/>
        </w:rPr>
        <w:t>企业名称(盖章):</w:t>
      </w:r>
    </w:p>
    <w:p w14:paraId="468FC5F2">
      <w:pPr>
        <w:spacing w:line="360" w:lineRule="auto"/>
        <w:ind w:firstLine="480" w:firstLineChars="200"/>
        <w:rPr>
          <w:rFonts w:ascii="宋体" w:hAnsi="宋体" w:eastAsia="宋体" w:cs="宋体"/>
          <w:sz w:val="24"/>
        </w:rPr>
      </w:pPr>
      <w:r>
        <w:rPr>
          <w:rFonts w:hint="eastAsia" w:ascii="宋体" w:hAnsi="宋体" w:eastAsia="宋体" w:cs="宋体"/>
          <w:sz w:val="24"/>
        </w:rPr>
        <w:t>日期：</w:t>
      </w:r>
    </w:p>
    <w:p w14:paraId="14A9ABE9">
      <w:pPr>
        <w:spacing w:line="360" w:lineRule="auto"/>
        <w:ind w:firstLine="480" w:firstLineChars="200"/>
        <w:rPr>
          <w:rFonts w:ascii="宋体" w:hAnsi="宋体" w:eastAsia="宋体" w:cs="宋体"/>
          <w:sz w:val="24"/>
        </w:rPr>
      </w:pPr>
      <w:r>
        <w:rPr>
          <w:rFonts w:hint="eastAsia" w:ascii="宋体" w:hAnsi="宋体" w:eastAsia="宋体" w:cs="宋体"/>
          <w:sz w:val="24"/>
        </w:rPr>
        <w:t>注：从业人员、营业收入、资产总额填报上一年度数据，无上一年度数据的新成立企业可不填报。</w:t>
      </w:r>
    </w:p>
    <w:p w14:paraId="4C34B8B3">
      <w:pPr>
        <w:sectPr>
          <w:headerReference r:id="rId25" w:type="default"/>
          <w:footerReference r:id="rId26" w:type="default"/>
          <w:pgSz w:w="11900" w:h="16840"/>
          <w:pgMar w:top="1129" w:right="1210" w:bottom="1391" w:left="1190" w:header="1120" w:footer="1262" w:gutter="0"/>
          <w:cols w:space="720" w:num="1"/>
        </w:sectPr>
      </w:pPr>
    </w:p>
    <w:p w14:paraId="1D9E8791">
      <w:pPr>
        <w:jc w:val="center"/>
        <w:outlineLvl w:val="2"/>
        <w:rPr>
          <w:rFonts w:ascii="Times New Roman" w:hAnsi="Times New Roman" w:eastAsia="宋体" w:cs="Times New Roman"/>
          <w:sz w:val="28"/>
          <w:szCs w:val="28"/>
        </w:rPr>
      </w:pPr>
      <w:bookmarkStart w:id="185" w:name="_bookmark90"/>
      <w:bookmarkEnd w:id="185"/>
      <w:bookmarkStart w:id="186" w:name="_Toc211511509"/>
      <w:r>
        <w:rPr>
          <w:rFonts w:hint="eastAsia" w:ascii="Times New Roman" w:hAnsi="Times New Roman" w:eastAsia="宋体" w:cs="Times New Roman"/>
          <w:sz w:val="28"/>
          <w:szCs w:val="28"/>
        </w:rPr>
        <w:t>(二)按磋商文件要求供应商所能提供的其他文件</w:t>
      </w:r>
      <w:bookmarkEnd w:id="186"/>
    </w:p>
    <w:p w14:paraId="65C385AA">
      <w:pPr>
        <w:pStyle w:val="7"/>
      </w:pPr>
    </w:p>
    <w:sectPr>
      <w:headerReference r:id="rId27" w:type="default"/>
      <w:footerReference r:id="rId28" w:type="default"/>
      <w:pgSz w:w="11900" w:h="16840"/>
      <w:pgMar w:top="1129" w:right="1239" w:bottom="1391" w:left="1190" w:header="1120" w:footer="1262"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golian Baiti">
    <w:panose1 w:val="03000500000000000000"/>
    <w:charset w:val="00"/>
    <w:family w:val="script"/>
    <w:pitch w:val="default"/>
    <w:sig w:usb0="80000023" w:usb1="00000000" w:usb2="00020000" w:usb3="00000000" w:csb0="00000001" w:csb1="00000000"/>
  </w:font>
  <w:font w:name="楷体_GB2312">
    <w:panose1 w:val="02010609030101010101"/>
    <w:charset w:val="86"/>
    <w:family w:val="modern"/>
    <w:pitch w:val="default"/>
    <w:sig w:usb0="00000001" w:usb1="080E0000" w:usb2="00000000" w:usb3="00000000" w:csb0="00040000" w:csb1="00000000"/>
  </w:font>
  <w:font w:name="Adobe 仿宋 Std R">
    <w:altName w:val="仿宋"/>
    <w:panose1 w:val="00000000000000000000"/>
    <w:charset w:val="86"/>
    <w:family w:val="roma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楷体">
    <w:panose1 w:val="02010609060101010101"/>
    <w:charset w:val="86"/>
    <w:family w:val="modern"/>
    <w:pitch w:val="default"/>
    <w:sig w:usb0="800002BF" w:usb1="38CF7CFA" w:usb2="00000016" w:usb3="00000000" w:csb0="00040001" w:csb1="0000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5FF5BA">
    <w:pPr>
      <w:pStyle w:val="1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7330EEC">
                          <w:pPr>
                            <w:pStyle w:val="15"/>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YWikyAgAAZQQAAA4AAABkcnMvZTJvRG9jLnhtbK1UzY7TMBC+I/EO&#10;lu80aRGrUj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JbSjRT6Pjpx/fT&#10;z4fTr28EdxCotX6GuHuLyNC9Mx2Ch3uPy8i7q5yKv2BE4Ie8x4u8oguEx0fTyXSaw8XhGw7Azx6f&#10;W+fDe2EUiUZBHfqXZGWHjQ996BASs2mzbqRMPZSatAW9ev0mTw8uHoBLHWNFmoYzTKTUlx6t0G27&#10;M8+tKY+g6Uw/Kd7ydYNSNsyHO+YwGigfyxNu8amkQUpztiipjfv6r/sYj47BS0mLUSuoxmZRIj9o&#10;dBKAYTDcYGwHQ+/VjcHsjrGUlicTD1yQg1k5o75go5YxB1xMc2QqaBjMm9CPOzaSi+UyBWH2LAsb&#10;fW95hI7yeLvcB8iZVI6i9EqgO/GA6Ut9Om9KHO8/zynq8d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JVhaKTICAABlBAAADgAAAAAAAAABACAAAAAfAQAAZHJzL2Uyb0RvYy54bWxQSwUG&#10;AAAAAAYABgBZAQAAwwUAAAAA&#10;">
              <v:fill on="f" focussize="0,0"/>
              <v:stroke on="f" weight="0.5pt"/>
              <v:imagedata o:title=""/>
              <o:lock v:ext="edit" aspectratio="f"/>
              <v:textbox inset="0mm,0mm,0mm,0mm" style="mso-fit-shape-to-text:t;">
                <w:txbxContent>
                  <w:p w14:paraId="47330EEC">
                    <w:pPr>
                      <w:pStyle w:val="15"/>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36680">
    <w:pPr>
      <w:pStyle w:val="15"/>
      <w:jc w:val="center"/>
    </w:pPr>
  </w:p>
  <w:p w14:paraId="19001418">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489D06">
    <w:pPr>
      <w:pStyle w:val="15"/>
      <w:framePr w:wrap="around" w:vAnchor="text" w:hAnchor="margin" w:xAlign="center" w:y="1"/>
      <w:rPr>
        <w:rStyle w:val="28"/>
      </w:rPr>
    </w:pPr>
    <w:r>
      <w:fldChar w:fldCharType="begin"/>
    </w:r>
    <w:r>
      <w:rPr>
        <w:rStyle w:val="28"/>
      </w:rPr>
      <w:instrText xml:space="preserve">PAGE  </w:instrText>
    </w:r>
    <w:r>
      <w:fldChar w:fldCharType="end"/>
    </w:r>
  </w:p>
  <w:p w14:paraId="50BCE1E5">
    <w:pPr>
      <w:pStyle w:val="1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EA4FCE">
    <w:pPr>
      <w:pStyle w:val="15"/>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21830149" name="文本框 17"/>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707C9BF9">
                          <w:pPr>
                            <w:pStyle w:val="14"/>
                            <w:tabs>
                              <w:tab w:val="center" w:pos="4153"/>
                              <w:tab w:val="right" w:pos="8306"/>
                            </w:tabs>
                          </w:pPr>
                          <w:r>
                            <w:fldChar w:fldCharType="begin"/>
                          </w:r>
                          <w:r>
                            <w:instrText xml:space="preserve"> PAGE  \* MERGEFORMAT </w:instrText>
                          </w:r>
                          <w:r>
                            <w:fldChar w:fldCharType="separate"/>
                          </w:r>
                          <w:r>
                            <w:t>4</w:t>
                          </w:r>
                          <w:r>
                            <w:fldChar w:fldCharType="end"/>
                          </w:r>
                        </w:p>
                      </w:txbxContent>
                    </wps:txbx>
                    <wps:bodyPr rot="0" vert="horz" wrap="none" lIns="0" tIns="0" rIns="0" bIns="0" anchor="t" anchorCtr="0" upright="1">
                      <a:spAutoFit/>
                    </wps:bodyPr>
                  </wps:wsp>
                </a:graphicData>
              </a:graphic>
            </wp:anchor>
          </w:drawing>
        </mc:Choice>
        <mc:Fallback>
          <w:pict>
            <v:shape id="文本框 17"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nFMjg4CAAAOBAAADgAAAGRycy9lMm9Eb2MueG1srVPNjtMwEL4j8Q6W&#10;7zRJQVCipqtlqyKk5UdaeADXcRKLxGON3SblAeANOO2FO8/V52DsNN1lueyBizW2Z775vs/j5cXQ&#10;tWyv0GkwBc9mKWfKSCi1qQv+5fPm2YIz54UpRQtGFfygHL9YPX2y7G2u5tBAWypkBGJc3tuCN97b&#10;PEmcbFQn3AysMnRZAXbC0xbrpETRE3rXJvM0fZn0gKVFkMo5Ol2Pl/yEiI8BhKrSUq1B7jpl/IiK&#10;qhWeJLlGW8dXkW1VKek/VpVTnrUFJ6U+rtSE4m1Yk9VS5DUK22h5oiAeQ+GBpk5oQ03PUGvhBduh&#10;/geq0xLBQeVnErpkFBIdIRVZ+sCbm0ZYFbWQ1c6eTXf/D1Z+2H9CpsuCz7N5tnieZi9ec2ZERy9/&#10;/PnjePv7+Os7y14Fo3rrcsq/sVThhzcw0PhE0c5eg/zqmIGrRphaXSJC3yhREtEsVCb3SkccF0C2&#10;/XsoqZHYeYhAQ4VdcJF8YYROj3Q4P5IaPJOh5WK+WKR0Jelu2oQeIp/KLTr/VkHHQlBwpCmI8GJ/&#10;7fyYOqWEbgY2um3pXOSt+euAMMNJpB8Yj9z9sB0oO2jaQnkgIQjjYNG3oqAB/MZZT0NVcEN/iLP2&#10;nSErwvxNAU7BdgqEkVRYcM/ZGF75cU53FnXdEO5k9iXZtdFRyB2HE0sak2jFaaTDHN7fx6y7b7z6&#10;A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M6pebnPAAAABQEAAA8AAAAAAAAAAQAgAAAAIgAAAGRy&#10;cy9kb3ducmV2LnhtbFBLAQIUABQAAAAIAIdO4kBKcUyODgIAAA4EAAAOAAAAAAAAAAEAIAAAAB4B&#10;AABkcnMvZTJvRG9jLnhtbFBLBQYAAAAABgAGAFkBAACeBQAAAAA=&#10;">
              <v:fill on="f" focussize="0,0"/>
              <v:stroke on="f"/>
              <v:imagedata o:title=""/>
              <o:lock v:ext="edit" aspectratio="f"/>
              <v:textbox inset="0mm,0mm,0mm,0mm" style="mso-fit-shape-to-text:t;">
                <w:txbxContent>
                  <w:p w14:paraId="707C9BF9">
                    <w:pPr>
                      <w:pStyle w:val="14"/>
                      <w:tabs>
                        <w:tab w:val="center" w:pos="4153"/>
                        <w:tab w:val="right" w:pos="8306"/>
                      </w:tabs>
                    </w:pPr>
                    <w:r>
                      <w:fldChar w:fldCharType="begin"/>
                    </w:r>
                    <w:r>
                      <w:instrText xml:space="preserve"> PAGE  \* MERGEFORMAT </w:instrText>
                    </w:r>
                    <w:r>
                      <w:fldChar w:fldCharType="separate"/>
                    </w:r>
                    <w:r>
                      <w:t>4</w:t>
                    </w:r>
                    <w:r>
                      <w:fldChar w:fldCharType="end"/>
                    </w:r>
                  </w:p>
                </w:txbxContent>
              </v:textbox>
            </v:shape>
          </w:pict>
        </mc:Fallback>
      </mc:AlternateContent>
    </w:r>
  </w:p>
  <w:p w14:paraId="5D04702B">
    <w:pPr>
      <w:pStyle w:val="1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5FA226">
    <w:pPr>
      <w:pStyle w:val="1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30052848" name="文本框 18"/>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77788E6C">
                          <w:pPr>
                            <w:pStyle w:val="14"/>
                            <w:tabs>
                              <w:tab w:val="center" w:pos="4153"/>
                              <w:tab w:val="right" w:pos="8306"/>
                            </w:tabs>
                          </w:pPr>
                          <w:r>
                            <w:fldChar w:fldCharType="begin"/>
                          </w:r>
                          <w:r>
                            <w:instrText xml:space="preserve"> PAGE  \* MERGEFORMAT </w:instrText>
                          </w:r>
                          <w:r>
                            <w:fldChar w:fldCharType="separate"/>
                          </w:r>
                          <w:r>
                            <w:t>1</w:t>
                          </w:r>
                          <w:r>
                            <w:fldChar w:fldCharType="end"/>
                          </w:r>
                        </w:p>
                      </w:txbxContent>
                    </wps:txbx>
                    <wps:bodyPr rot="0" vert="horz" wrap="none" lIns="0" tIns="0" rIns="0" bIns="0" anchor="t" anchorCtr="0" upright="1">
                      <a:spAutoFit/>
                    </wps:bodyPr>
                  </wps:wsp>
                </a:graphicData>
              </a:graphic>
            </wp:anchor>
          </w:drawing>
        </mc:Choice>
        <mc:Fallback>
          <w:pict>
            <v:shape id="文本框 18"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e87gQ0CAAANBAAADgAAAGRycy9lMm9Eb2MueG1srVPNjtMwEL4j8Q6W&#10;7zRpF1AUNV0tWxUhLT/SwgO4jpNYJB5r7DYpDwBvwInL3nmuPgdjp+kuy2UPXKyxPfPN930eLy+H&#10;rmV7hU6DKfh8lnKmjIRSm7rgXz5vXmScOS9MKVowquAH5fjl6vmzZW9ztYAG2lIhIxDj8t4WvPHe&#10;5kniZKM64WZglaHLCrATnrZYJyWKntC7Nlmk6eukBywtglTO0el6vOQnRHwKIFSVlmoNctcp40dU&#10;VK3wJMk12jq+imyrSkn/saqc8qwtOCn1caUmFG/DmqyWIq9R2EbLEwXxFAqPNHVCG2p6hloLL9gO&#10;9T9QnZYIDio/k9Alo5DoCKmYp4+8uW2EVVELWe3s2XT3/2Dlh/0nZLos+MVFmr5aZC/p+Y3o6OGP&#10;P38cf/0+3n1n8yz41FuXU/qtpQI/vIGBpidqdvYG5FfHDFw3wtTqChH6RomSeM5DZfKgdMRxAWTb&#10;v4eSGomdhwg0VNgFE8kWRuj0RofzG6nBMxlaZossS+lK0t20CT1EPpVbdP6tgo6FoOBIQxDhxf7G&#10;+TF1SgndDGx029K5yFvz1wFhhpNIPzAeufthO1B20LSF8kBCEMa5ol9FQQP4jbOeZqrghr4QZ+07&#10;Q1aE8ZsCnILtFAgjqbDgnrMxvPbjmO4s6roh3MnsK7Jro6OQew4nljQl0YrTRIcxfLiPWfe/ePUH&#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zql5uc8AAAAFAQAADwAAAAAAAAABACAAAAAiAAAAZHJz&#10;L2Rvd25yZXYueG1sUEsBAhQAFAAAAAgAh07iQMHvO4ENAgAADQQAAA4AAAAAAAAAAQAgAAAAHgEA&#10;AGRycy9lMm9Eb2MueG1sUEsFBgAAAAAGAAYAWQEAAJ0FAAAAAA==&#10;">
              <v:fill on="f" focussize="0,0"/>
              <v:stroke on="f"/>
              <v:imagedata o:title=""/>
              <o:lock v:ext="edit" aspectratio="f"/>
              <v:textbox inset="0mm,0mm,0mm,0mm" style="mso-fit-shape-to-text:t;">
                <w:txbxContent>
                  <w:p w14:paraId="77788E6C">
                    <w:pPr>
                      <w:pStyle w:val="14"/>
                      <w:tabs>
                        <w:tab w:val="center" w:pos="4153"/>
                        <w:tab w:val="right" w:pos="8306"/>
                      </w:tabs>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2AEC4">
    <w:pPr>
      <w:pStyle w:val="15"/>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C8DA579">
                          <w:pPr>
                            <w:pStyle w:val="15"/>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ZE8m0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QRDOFjl++f7v8&#10;+HX5+ZXgDgI11s8Rt7OIDO1b02JshnuPy8i7LZ2Kv2BE4AfW+SqvaAPh8dFsOpuN4eLwDQfgZ4/P&#10;rfPhnTCKRCOnDv1LsrLT1ocudAiJ2bTZ1FKmHkpNmpzevH4zTg+uHoBLHWNFmoYeJlLqSo9WaPdt&#10;z3NvijNoOtNNird8U6OULfPhgTmMBsrH8oR7fEppkNL0FiWVcV/+dR/j0TF4KWkwajnV2CxK5HuN&#10;TgIwDIYbjP1g6KO6M5jdCZbS8mTigQtyMEtn1Gds1CrmgItpjkw5DYN5F7pxx0ZysVqlIMyeZWGr&#10;d5ZH6CiPt6tjgJxJ5ShKpwS6Ew+YvtSnflPieP95TlGP/w7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2RPJtMQIAAGUEAAAOAAAAAAAAAAEAIAAAAB8BAABkcnMvZTJvRG9jLnhtbFBLBQYA&#10;AAAABgAGAFkBAADCBQAAAAA=&#10;">
              <v:fill on="f" focussize="0,0"/>
              <v:stroke on="f" weight="0.5pt"/>
              <v:imagedata o:title=""/>
              <o:lock v:ext="edit" aspectratio="f"/>
              <v:textbox inset="0mm,0mm,0mm,0mm" style="mso-fit-shape-to-text:t;">
                <w:txbxContent>
                  <w:p w14:paraId="2C8DA579">
                    <w:pPr>
                      <w:pStyle w:val="15"/>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04C52D">
    <w:pPr>
      <w:pStyle w:val="15"/>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84B990F">
                          <w:pPr>
                            <w:pStyle w:val="15"/>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ytsHcxAgAAZQ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XRCiWYKHb98/3b5&#10;8evy8yvBGQRqrJ8jbmcRGdq3psXYDOceh5F3WzoVv2BE4Ie856u8og2Ex0uz6Ww2hovDN2yAnz1e&#10;t86Hd8IoEo2cOvQvycpOWx+60CEkZtNmU0uZeig1aXJ68/rNOF24egAudYwVaRp6mEipKz1aod23&#10;Pc+9Kc6g6Uw3Kd7yTY1StsyHB+YwGigfjyfcYymlQUrTW5RUxn3513mMR8fgpaTBqOVU42VRIt9r&#10;dBKAYTDcYOwHQx/VncHsojmoJZm44IIczNIZ9RkvahVzwMU0R6achsG8C92440VysVqlIMyeZWGr&#10;d5ZH6CiPt6tjgJxJ5ShKpwS6EzeYvtSn/qXE8f5zn6Ie/w7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8rbB3MQIAAGUEAAAOAAAAAAAAAAEAIAAAAB8BAABkcnMvZTJvRG9jLnhtbFBLBQYA&#10;AAAABgAGAFkBAADCBQAAAAA=&#10;">
              <v:fill on="f" focussize="0,0"/>
              <v:stroke on="f" weight="0.5pt"/>
              <v:imagedata o:title=""/>
              <o:lock v:ext="edit" aspectratio="f"/>
              <v:textbox inset="0mm,0mm,0mm,0mm" style="mso-fit-shape-to-text:t;">
                <w:txbxContent>
                  <w:p w14:paraId="384B990F">
                    <w:pPr>
                      <w:pStyle w:val="15"/>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61192">
    <w:pPr>
      <w:pStyle w:val="15"/>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42A8621">
                          <w:pPr>
                            <w:pStyle w:val="15"/>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KXd1ky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dTSjRT6Pjl+7fL&#10;j1+Xn18J7iBQY/0ccTuLyNC+NS3GZrj3uIy829Kp+AtGBH7Ie77KK9pAeHw0m85mY7g4fMMB+Nnj&#10;c+t8eCeMItHIqUP/kqzstPWhCx1CYjZtNrWUqYdSkyanN6/fjNODqwfgUsdYkaahh4mUutKjFdp9&#10;2/Pcm+IMms50k+It39QoZct8eGAOo4HysTzhHp9SGqQ0vUVJZdyXf93HeHQMXkoajFpONTaLEvle&#10;o5MADIPhBmM/GPqo7gxmd4KltDyZeOCCHMzSGfUZG7WKOeBimiNTTsNg3oVu3LGRXKxWKQizZ1nY&#10;6p3lETrK4+3qGCBnUjmK0imB7sQDpi/1qd+UON5/nlPU47/D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pd3WTICAABlBAAADgAAAAAAAAABACAAAAAfAQAAZHJzL2Uyb0RvYy54bWxQSwUG&#10;AAAAAAYABgBZAQAAwwUAAAAA&#10;">
              <v:fill on="f" focussize="0,0"/>
              <v:stroke on="f" weight="0.5pt"/>
              <v:imagedata o:title=""/>
              <o:lock v:ext="edit" aspectratio="f"/>
              <v:textbox inset="0mm,0mm,0mm,0mm" style="mso-fit-shape-to-text:t;">
                <w:txbxContent>
                  <w:p w14:paraId="542A8621">
                    <w:pPr>
                      <w:pStyle w:val="15"/>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A3443">
    <w:pPr>
      <w:pStyle w:val="15"/>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8479501">
                          <w:pPr>
                            <w:pStyle w:val="15"/>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h+NUMzAgAAZ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PpFSWaKXT8/OP7&#10;+efv869vBHcQqLF+jrgHi8jQvjMtxma497iMvNvSqfgLRgR+yHu6yCvaQHh8NJvOZmO4OHzDAfjZ&#10;03PrfHgvjCLRyKlD/5Ks7Lj1oQsdQmI2bTa1lKmHUpMmp9dXb8fpwcUDcKljrEjT0MNESl3p0Qrt&#10;ru157kxxAk1nuknxlm9qlLJlPtwzh9FA+ViecIdPKQ1Smt6ipDLu67/uYzw6Bi8lDUYtpxqbRYn8&#10;oNFJAIbBcIOxGwx9ULcGszvBUlqeTDxwQQ5m6Yz6go1axRxwMc2RKadhMG9DN+7YSC5WqxSE2bMs&#10;bPWD5RE6yuPt6hAgZ1I5itIpge7EA6Yv9anflDjef55T1NO/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h+NUMzAgAAZQQAAA4AAAAAAAAAAQAgAAAAHwEAAGRycy9lMm9Eb2MueG1sUEsF&#10;BgAAAAAGAAYAWQEAAMQFAAAAAA==&#10;">
              <v:fill on="f" focussize="0,0"/>
              <v:stroke on="f" weight="0.5pt"/>
              <v:imagedata o:title=""/>
              <o:lock v:ext="edit" aspectratio="f"/>
              <v:textbox inset="0mm,0mm,0mm,0mm" style="mso-fit-shape-to-text:t;">
                <w:txbxContent>
                  <w:p w14:paraId="08479501">
                    <w:pPr>
                      <w:pStyle w:val="15"/>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D3EF92">
    <w:pPr>
      <w:pStyle w:val="15"/>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9B06DE2">
                          <w:pPr>
                            <w:pStyle w:val="15"/>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j+QQzAgAAZQ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k7eUKKZQsdPP76f&#10;fj6cfn0juINArfUzxN1bRIbunekwNsO9x2Xk3VVOxV8wIvBD3uNFXtEFwuOj6WQ6zeHi8A0H4GeP&#10;z63z4b0wikSjoA79S7Kyw8aHPnQIidm0WTdSph5KTdqCXr1+m6cHFw/ApY6xIk3DGSZS6kuPVui2&#10;3Znn1pRH0HSmnxRv+bpBKRvmwx1zGA2Uj+UJt/hU0iClOVuU1MZ9/dd9jEfH4KWkxagVVGOzKJEf&#10;NDoJwDAYbjC2g6H36sZgdsdYSsuTiQcuyMGsnFFfsFHLmAMupjkyFTQM5k3oxx0bycVymYIwe5aF&#10;jb63PEJHebxd7gPkTCpHUXol0J14wPSlPp03JY73n+cU9fj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j+QQzAgAAZQQAAA4AAAAAAAAAAQAgAAAAHwEAAGRycy9lMm9Eb2MueG1sUEsF&#10;BgAAAAAGAAYAWQEAAMQFAAAAAA==&#10;">
              <v:fill on="f" focussize="0,0"/>
              <v:stroke on="f" weight="0.5pt"/>
              <v:imagedata o:title=""/>
              <o:lock v:ext="edit" aspectratio="f"/>
              <v:textbox inset="0mm,0mm,0mm,0mm" style="mso-fit-shape-to-text:t;">
                <w:txbxContent>
                  <w:p w14:paraId="59B06DE2">
                    <w:pPr>
                      <w:pStyle w:val="15"/>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177DE7">
    <w:pPr>
      <w:pStyle w:val="15"/>
    </w:pP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97A3D69">
                          <w:pPr>
                            <w:pStyle w:val="15"/>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QKux4zAgAAZ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PpFSWaKXT8/OP7&#10;+efv869vBHcQqLF+jrgHi8jQvjMtxma497iMvNvSqfgLRgR+yHu6yCvaQHh8NJvOZmO4OHzDAfjZ&#10;03PrfHgvjCLRyKlD/5Ks7Lj1oQsdQmI2bTa1lKmHUpMmp9dvr8bpwcUDcKljrEjT0MNESl3p0Qrt&#10;ru157kxxAk1nuknxlm9qlLJlPtwzh9FA+ViecIdPKQ1Smt6ipDLu67/uYzw6Bi8lDUYtpxqbRYn8&#10;oNFJAIbBcIOxGwx9ULcGszvBUlqeTDxwQQ5m6Yz6go1axRxwMc2RKadhMG9DN+7YSC5WqxSE2bMs&#10;bPWD5RE6yuPt6hAgZ1I5itIpge7EA6Yv9anflDjef55T1NO/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QKux4zAgAAZQQAAA4AAAAAAAAAAQAgAAAAHwEAAGRycy9lMm9Eb2MueG1sUEsF&#10;BgAAAAAGAAYAWQEAAMQFAAAAAA==&#10;">
              <v:fill on="f" focussize="0,0"/>
              <v:stroke on="f" weight="0.5pt"/>
              <v:imagedata o:title=""/>
              <o:lock v:ext="edit" aspectratio="f"/>
              <v:textbox inset="0mm,0mm,0mm,0mm" style="mso-fit-shape-to-text:t;">
                <w:txbxContent>
                  <w:p w14:paraId="697A3D69">
                    <w:pPr>
                      <w:pStyle w:val="15"/>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5CABB9">
    <w:pPr>
      <w:pStyle w:val="15"/>
    </w:pPr>
    <w: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87E7B25">
                          <w:pPr>
                            <w:pStyle w:val="15"/>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DZPiozAgAAZQ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k7eUqKZQsdPP76f&#10;fj6cfn0juINArfUzxN1bRIbunekwNsO9x2Xk3VVOxV8wIvBD3uNFXtEFwuOj6WQ6zeHi8A0H4GeP&#10;z63z4b0wikSjoA79S7Kyw8aHPnQIidm0WTdSph5KTdqCXr1+k6cHFw/ApY6xIk3DGSZS6kuPVui2&#10;3Znn1pRH0HSmnxRv+bpBKRvmwx1zGA2Uj+UJt/hU0iClOVuU1MZ9/dd9jEfH4KWkxagVVGOzKJEf&#10;NDoJwDAYbjC2g6H36sZgdsdYSsuTiQcuyMGsnFFfsFHLmAMupjkyFTQM5k3oxx0bycVymYIwe5aF&#10;jb63PEJHebxd7gPkTCpHUXol0J14wPSlPp03JY73n+cU9fj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DZPiozAgAAZQQAAA4AAAAAAAAAAQAgAAAAHwEAAGRycy9lMm9Eb2MueG1sUEsF&#10;BgAAAAAGAAYAWQEAAMQFAAAAAA==&#10;">
              <v:fill on="f" focussize="0,0"/>
              <v:stroke on="f" weight="0.5pt"/>
              <v:imagedata o:title=""/>
              <o:lock v:ext="edit" aspectratio="f"/>
              <v:textbox inset="0mm,0mm,0mm,0mm" style="mso-fit-shape-to-text:t;">
                <w:txbxContent>
                  <w:p w14:paraId="487E7B25">
                    <w:pPr>
                      <w:pStyle w:val="15"/>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D05158">
    <w:pPr>
      <w:pStyle w:val="15"/>
    </w:pPr>
    <w: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EE188CF">
                          <w:pPr>
                            <w:pStyle w:val="15"/>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YK5b8y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fou2YKHb98/3b5&#10;8evy8yvBHQRqrJ8jbmcRGdq3psXYDPcel5F3WzoVf8GIwA95z1d5RRsIj49m09lsDBeHbzgAP3t8&#10;bp0P74RRJBo5dehfkpWdtj50oUNIzKbNppYy9VBq0uT05vWbcXpw9QBc6hgr0jT0MJFSV3q0Qrtv&#10;e557U5xB05luUrzlmxqlbJkPD8xhNFA+lifc41NKg5SmtyipjPvyr/sYj47BS0mDUcupxmZRIt9r&#10;dBKAYTDcYOwHQx/VncHsTrCUlicTD1yQg1k6oz5jo1YxB1xMc2TKaRjMu9CNOzaSi9UqBWH2LAtb&#10;vbM8Qkd5vF0dA+RMKkdROiXQnXjA9KU+9ZsSx/vPc4p6/HdY/g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JgrlvzICAABlBAAADgAAAAAAAAABACAAAAAfAQAAZHJzL2Uyb0RvYy54bWxQSwUG&#10;AAAAAAYABgBZAQAAwwUAAAAA&#10;">
              <v:fill on="f" focussize="0,0"/>
              <v:stroke on="f" weight="0.5pt"/>
              <v:imagedata o:title=""/>
              <o:lock v:ext="edit" aspectratio="f"/>
              <v:textbox inset="0mm,0mm,0mm,0mm" style="mso-fit-shape-to-text:t;">
                <w:txbxContent>
                  <w:p w14:paraId="3EE188CF">
                    <w:pPr>
                      <w:pStyle w:val="15"/>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4AC8DA">
    <w:pPr>
      <w:pStyle w:val="15"/>
    </w:pPr>
    <w: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4D0A519">
                          <w:pPr>
                            <w:pStyle w:val="15"/>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jp6UzAgAAZQQAAA4AAABkcnMvZTJvRG9jLnhtbK1UzY7TMBC+I/EO&#10;lu80aRGrUj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k7eUqKZQsdPP76f&#10;fj6cfn0juINArfUzxN1bRIbunekwNsO9x2Xk3VVOxV8wIvBD3uNFXtEFwuOj6WQ6zeHi8A0H4GeP&#10;z63z4b0wikSjoA79S7Kyw8aHPnQIidm0WTdSph5KTdqCXr1+k6cHFw/ApY6xIk3DGSZS6kuPVui2&#10;3Znn1pRH0HSmnxRv+bpBKRvmwx1zGA2Uj+UJt/hU0iClOVuU1MZ9/dd9jEfH4KWkxagVVGOzKJEf&#10;NDoJwDAYbjC2g6H36sZgdsdYSsuTiQcuyMGsnFFfsFHLmAMupjkyFTQM5k3oxx0bycVymYIwe5aF&#10;jb63PEJHebxd7gPkTCpHUXol0J14wPSlPp03JY73n+cU9fj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zjp6UzAgAAZQQAAA4AAAAAAAAAAQAgAAAAHwEAAGRycy9lMm9Eb2MueG1sUEsF&#10;BgAAAAAGAAYAWQEAAMQFAAAAAA==&#10;">
              <v:fill on="f" focussize="0,0"/>
              <v:stroke on="f" weight="0.5pt"/>
              <v:imagedata o:title=""/>
              <o:lock v:ext="edit" aspectratio="f"/>
              <v:textbox inset="0mm,0mm,0mm,0mm" style="mso-fit-shape-to-text:t;">
                <w:txbxContent>
                  <w:p w14:paraId="54D0A519">
                    <w:pPr>
                      <w:pStyle w:val="15"/>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98D137">
    <w:pPr>
      <w:pStyle w:val="1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585EC08">
                          <w:pPr>
                            <w:pStyle w:val="15"/>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vEGwwyAgAAZQQAAA4AAABkcnMvZTJvRG9jLnhtbK1UzY7TMBC+I/EO&#10;lu80bVes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n31dpwuXDwAlzrGijQNPUyk1JUerdDu&#10;2p7nzhQn0HSmmxRv+aZGKVvmwz1zGA2Uj8cT7rCU0iCl6S1KKuO+/us8xqNj8FLSYNRyqvGyKJEf&#10;NDoJwDAYbjB2g6EP6tZgdtEc1JJMXHBBDmbpjPqCF7WKOeBimiNTTsNg3oZu3PEiuVitUhBmz7Kw&#10;1Q+WR+goj7erQ4CcSeUoSqcEuhM3mL7Up/6lxPH+c5+inv4O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8QbDDICAABlBAAADgAAAAAAAAABACAAAAAfAQAAZHJzL2Uyb0RvYy54bWxQSwUG&#10;AAAAAAYABgBZAQAAwwUAAAAA&#10;">
              <v:fill on="f" focussize="0,0"/>
              <v:stroke on="f" weight="0.5pt"/>
              <v:imagedata o:title=""/>
              <o:lock v:ext="edit" aspectratio="f"/>
              <v:textbox inset="0mm,0mm,0mm,0mm" style="mso-fit-shape-to-text:t;">
                <w:txbxContent>
                  <w:p w14:paraId="3585EC08">
                    <w:pPr>
                      <w:pStyle w:val="15"/>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E89120">
    <w:pPr>
      <w:pStyle w:val="15"/>
    </w:pPr>
    <w: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C96AE44">
                          <w:pPr>
                            <w:pStyle w:val="15"/>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X+3CIzAgAAZ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OrKSWaKXT8/OP7&#10;+efv869vBHcQqLF+jrgHi8jQvjMtxma497iMvNvSqfgLRgR+yHu6yCvaQHh8NJvOZmO4OHzDAfjZ&#10;03PrfHgvjCLRyKlD/5Ks7Lj1oQsdQmI2bTa1lKmHUpMmp9dXb8fpwcUDcKljrEjT0MNESl3p0Qrt&#10;ru157kxxAk1nuknxlm9qlLJlPtwzh9FA+ViecIdPKQ1Smt6ipDLu67/uYzw6Bi8lDUYtpxqbRYn8&#10;oNFJAIbBcIOxGwx9ULcGszvBUlqeTDxwQQ5m6Yz6go1axRxwMc2RKadhMG9DN+7YSC5WqxSE2bMs&#10;bPWD5RE6yuPt6hAgZ1I5itIpge7EA6Yv9anflDjef55T1NO/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X+3CIzAgAAZQQAAA4AAAAAAAAAAQAgAAAAHwEAAGRycy9lMm9Eb2MueG1sUEsF&#10;BgAAAAAGAAYAWQEAAMQFAAAAAA==&#10;">
              <v:fill on="f" focussize="0,0"/>
              <v:stroke on="f" weight="0.5pt"/>
              <v:imagedata o:title=""/>
              <o:lock v:ext="edit" aspectratio="f"/>
              <v:textbox inset="0mm,0mm,0mm,0mm" style="mso-fit-shape-to-text:t;">
                <w:txbxContent>
                  <w:p w14:paraId="7C96AE44">
                    <w:pPr>
                      <w:pStyle w:val="15"/>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356F26">
    <w:pPr>
      <w:pStyle w:val="15"/>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441BDE5">
                          <w:pPr>
                            <w:pStyle w:val="15"/>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8XnjgzAgAAZQ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QyoUQzhY6ff3w/&#10;//x9/vWN4A4CNdbPELe1iAztO9NibPp7j8vIuy2dir9gROCHvKervKINhMdH0/F0OoSLw9cfgJ89&#10;PbfOh/fCKBKNnDr0L8nKjhsfutA+JGbTZl1LmXooNWlyejN5O0wPrh6ASx1jRZqGC0yk1JUerdDu&#10;2gvPnSlOoOlMNyne8nWNUjbMhwfmMBooH8sT7vEppUFKc7EoqYz7+q/7GI+OwUtJg1HLqcZmUSI/&#10;aHQSgKE3XG/sekMf1J3B7I6wlJYnEw9ckL1ZOqO+YKOWMQdcTHNkymnozbvQjTs2kovlMgVh9iwL&#10;G721PEJHebxdHgLkTCpHUTol0J14wPSlPl02JY73n+cU9fTvsHg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8XnjgzAgAAZQQAAA4AAAAAAAAAAQAgAAAAHwEAAGRycy9lMm9Eb2MueG1sUEsF&#10;BgAAAAAGAAYAWQEAAMQFAAAAAA==&#10;">
              <v:fill on="f" focussize="0,0"/>
              <v:stroke on="f" weight="0.5pt"/>
              <v:imagedata o:title=""/>
              <o:lock v:ext="edit" aspectratio="f"/>
              <v:textbox inset="0mm,0mm,0mm,0mm" style="mso-fit-shape-to-text:t;">
                <w:txbxContent>
                  <w:p w14:paraId="4441BDE5">
                    <w:pPr>
                      <w:pStyle w:val="15"/>
                    </w:pPr>
                    <w:r>
                      <w:fldChar w:fldCharType="begin"/>
                    </w:r>
                    <w:r>
                      <w:instrText xml:space="preserve"> PAGE  \* MERGEFORMAT </w:instrText>
                    </w:r>
                    <w:r>
                      <w:fldChar w:fldCharType="separate"/>
                    </w:r>
                    <w:r>
                      <w:t>51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E96F8">
    <w:pPr>
      <w:pStyle w:val="1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FCC5E2">
    <w:pPr>
      <w:pStyle w:val="16"/>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0CE976">
    <w:pPr>
      <w:pStyle w:val="16"/>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122E0D">
    <w:pPr>
      <w:pStyle w:val="1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D88BCE">
    <w:pPr>
      <w:spacing w:line="14" w:lineRule="auto"/>
      <w:rPr>
        <w:rFonts w:ascii="Arial"/>
        <w:sz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BB873C">
    <w:pPr>
      <w:spacing w:line="14" w:lineRule="auto"/>
      <w:rPr>
        <w:rFonts w:ascii="Arial"/>
        <w:sz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35D43F">
    <w:pPr>
      <w:spacing w:line="14" w:lineRule="auto"/>
      <w:rPr>
        <w:rFonts w:ascii="Arial"/>
        <w:sz w:val="2"/>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0CA0FF">
    <w:pPr>
      <w:pStyle w:val="16"/>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42E76">
    <w:pPr>
      <w:pStyle w:val="1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65CE3B"/>
    <w:multiLevelType w:val="singleLevel"/>
    <w:tmpl w:val="9065CE3B"/>
    <w:lvl w:ilvl="0" w:tentative="0">
      <w:start w:val="1"/>
      <w:numFmt w:val="decimal"/>
      <w:suff w:val="nothing"/>
      <w:lvlText w:val="%1、"/>
      <w:lvlJc w:val="left"/>
    </w:lvl>
  </w:abstractNum>
  <w:abstractNum w:abstractNumId="1">
    <w:nsid w:val="AE3FE6EF"/>
    <w:multiLevelType w:val="singleLevel"/>
    <w:tmpl w:val="AE3FE6EF"/>
    <w:lvl w:ilvl="0" w:tentative="0">
      <w:start w:val="1"/>
      <w:numFmt w:val="chineseCounting"/>
      <w:suff w:val="nothing"/>
      <w:lvlText w:val="（%1）"/>
      <w:lvlJc w:val="left"/>
      <w:rPr>
        <w:rFonts w:hint="eastAsia"/>
      </w:rPr>
    </w:lvl>
  </w:abstractNum>
  <w:abstractNum w:abstractNumId="2">
    <w:nsid w:val="D670D299"/>
    <w:multiLevelType w:val="singleLevel"/>
    <w:tmpl w:val="D670D299"/>
    <w:lvl w:ilvl="0" w:tentative="0">
      <w:start w:val="1"/>
      <w:numFmt w:val="decimal"/>
      <w:pStyle w:val="53"/>
      <w:suff w:val="nothing"/>
      <w:lvlText w:val="%1、"/>
      <w:lvlJc w:val="left"/>
    </w:lvl>
  </w:abstractNum>
  <w:abstractNum w:abstractNumId="3">
    <w:nsid w:val="E140057E"/>
    <w:multiLevelType w:val="singleLevel"/>
    <w:tmpl w:val="E140057E"/>
    <w:lvl w:ilvl="0" w:tentative="0">
      <w:start w:val="4"/>
      <w:numFmt w:val="chineseCounting"/>
      <w:suff w:val="nothing"/>
      <w:lvlText w:val="%1、"/>
      <w:lvlJc w:val="left"/>
      <w:rPr>
        <w:rFonts w:hint="eastAsia"/>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ljYzUzMWQ4OWI0YzBkYjYzMDRhZTY5ZjZkYmFmYTgifQ=="/>
  </w:docVars>
  <w:rsids>
    <w:rsidRoot w:val="1E2B595B"/>
    <w:rsid w:val="0001246B"/>
    <w:rsid w:val="00013F10"/>
    <w:rsid w:val="000151CD"/>
    <w:rsid w:val="000212FA"/>
    <w:rsid w:val="0002211B"/>
    <w:rsid w:val="000228DC"/>
    <w:rsid w:val="00025B5A"/>
    <w:rsid w:val="0002753A"/>
    <w:rsid w:val="0005577D"/>
    <w:rsid w:val="0006098B"/>
    <w:rsid w:val="00076487"/>
    <w:rsid w:val="00080D61"/>
    <w:rsid w:val="00082FA3"/>
    <w:rsid w:val="0008652B"/>
    <w:rsid w:val="000D540A"/>
    <w:rsid w:val="000E0FB3"/>
    <w:rsid w:val="000E71FE"/>
    <w:rsid w:val="001035D2"/>
    <w:rsid w:val="001062E4"/>
    <w:rsid w:val="001128DB"/>
    <w:rsid w:val="001129F3"/>
    <w:rsid w:val="00112ED3"/>
    <w:rsid w:val="00115060"/>
    <w:rsid w:val="001244D9"/>
    <w:rsid w:val="00125C31"/>
    <w:rsid w:val="00153187"/>
    <w:rsid w:val="00153D6D"/>
    <w:rsid w:val="00173862"/>
    <w:rsid w:val="00191D4A"/>
    <w:rsid w:val="001A5494"/>
    <w:rsid w:val="001B2232"/>
    <w:rsid w:val="001B4A83"/>
    <w:rsid w:val="001C1FDA"/>
    <w:rsid w:val="001C5A13"/>
    <w:rsid w:val="001D530A"/>
    <w:rsid w:val="001E6CAF"/>
    <w:rsid w:val="001F6517"/>
    <w:rsid w:val="0021309A"/>
    <w:rsid w:val="002178DA"/>
    <w:rsid w:val="002226DE"/>
    <w:rsid w:val="002273B1"/>
    <w:rsid w:val="002344DE"/>
    <w:rsid w:val="00245CCA"/>
    <w:rsid w:val="0025417C"/>
    <w:rsid w:val="00271973"/>
    <w:rsid w:val="002811D3"/>
    <w:rsid w:val="0029647C"/>
    <w:rsid w:val="002A2B8E"/>
    <w:rsid w:val="002C26C3"/>
    <w:rsid w:val="002E2056"/>
    <w:rsid w:val="002E5A7B"/>
    <w:rsid w:val="002F4AD4"/>
    <w:rsid w:val="003002AA"/>
    <w:rsid w:val="0030537A"/>
    <w:rsid w:val="00310738"/>
    <w:rsid w:val="003113A8"/>
    <w:rsid w:val="003246CC"/>
    <w:rsid w:val="00327256"/>
    <w:rsid w:val="00330123"/>
    <w:rsid w:val="00337779"/>
    <w:rsid w:val="00355CF9"/>
    <w:rsid w:val="00356B0C"/>
    <w:rsid w:val="00363ED7"/>
    <w:rsid w:val="00375731"/>
    <w:rsid w:val="003A3219"/>
    <w:rsid w:val="003A52B9"/>
    <w:rsid w:val="003B124A"/>
    <w:rsid w:val="003B354B"/>
    <w:rsid w:val="003C0DC8"/>
    <w:rsid w:val="003C2084"/>
    <w:rsid w:val="003C5A8F"/>
    <w:rsid w:val="003D021A"/>
    <w:rsid w:val="003F78B5"/>
    <w:rsid w:val="0041063B"/>
    <w:rsid w:val="00413175"/>
    <w:rsid w:val="0042788D"/>
    <w:rsid w:val="004366E8"/>
    <w:rsid w:val="004372A5"/>
    <w:rsid w:val="00440127"/>
    <w:rsid w:val="00442A72"/>
    <w:rsid w:val="00451B79"/>
    <w:rsid w:val="00452AC1"/>
    <w:rsid w:val="00456123"/>
    <w:rsid w:val="00473F85"/>
    <w:rsid w:val="0047680E"/>
    <w:rsid w:val="004B401B"/>
    <w:rsid w:val="004C21DC"/>
    <w:rsid w:val="004C6969"/>
    <w:rsid w:val="004D161A"/>
    <w:rsid w:val="004E4298"/>
    <w:rsid w:val="004F5DB7"/>
    <w:rsid w:val="005006D6"/>
    <w:rsid w:val="00500D2E"/>
    <w:rsid w:val="005054F2"/>
    <w:rsid w:val="00540ACF"/>
    <w:rsid w:val="005461EA"/>
    <w:rsid w:val="00564865"/>
    <w:rsid w:val="00566ADE"/>
    <w:rsid w:val="00585504"/>
    <w:rsid w:val="00587748"/>
    <w:rsid w:val="005A01BE"/>
    <w:rsid w:val="005A37F5"/>
    <w:rsid w:val="005A70AB"/>
    <w:rsid w:val="005C2E6C"/>
    <w:rsid w:val="005D6FAC"/>
    <w:rsid w:val="005E3A8D"/>
    <w:rsid w:val="005F4490"/>
    <w:rsid w:val="0060107F"/>
    <w:rsid w:val="006147B6"/>
    <w:rsid w:val="00622CC5"/>
    <w:rsid w:val="00630D39"/>
    <w:rsid w:val="00642542"/>
    <w:rsid w:val="00645DB3"/>
    <w:rsid w:val="006468B3"/>
    <w:rsid w:val="00676FF0"/>
    <w:rsid w:val="0067749B"/>
    <w:rsid w:val="006847F7"/>
    <w:rsid w:val="00685D4D"/>
    <w:rsid w:val="006B5941"/>
    <w:rsid w:val="006B7FE3"/>
    <w:rsid w:val="006D6413"/>
    <w:rsid w:val="006E6BFA"/>
    <w:rsid w:val="00722328"/>
    <w:rsid w:val="0073032A"/>
    <w:rsid w:val="007312AB"/>
    <w:rsid w:val="00733E46"/>
    <w:rsid w:val="00740CCC"/>
    <w:rsid w:val="00745E22"/>
    <w:rsid w:val="00761790"/>
    <w:rsid w:val="00785F0D"/>
    <w:rsid w:val="007924F5"/>
    <w:rsid w:val="00794125"/>
    <w:rsid w:val="007B3B67"/>
    <w:rsid w:val="007C1D88"/>
    <w:rsid w:val="007C6998"/>
    <w:rsid w:val="007E44A9"/>
    <w:rsid w:val="00800BE5"/>
    <w:rsid w:val="00806432"/>
    <w:rsid w:val="00810213"/>
    <w:rsid w:val="00822769"/>
    <w:rsid w:val="008331A5"/>
    <w:rsid w:val="00843006"/>
    <w:rsid w:val="00843D72"/>
    <w:rsid w:val="008524A6"/>
    <w:rsid w:val="00860F2A"/>
    <w:rsid w:val="008736DF"/>
    <w:rsid w:val="0087465A"/>
    <w:rsid w:val="008805E7"/>
    <w:rsid w:val="00880B3D"/>
    <w:rsid w:val="008B1238"/>
    <w:rsid w:val="008B5D1D"/>
    <w:rsid w:val="008D6639"/>
    <w:rsid w:val="008E3657"/>
    <w:rsid w:val="00906949"/>
    <w:rsid w:val="00914514"/>
    <w:rsid w:val="0093235C"/>
    <w:rsid w:val="00941CF1"/>
    <w:rsid w:val="00942533"/>
    <w:rsid w:val="00951627"/>
    <w:rsid w:val="009670A5"/>
    <w:rsid w:val="0097339A"/>
    <w:rsid w:val="00974B6E"/>
    <w:rsid w:val="00996956"/>
    <w:rsid w:val="009C45B9"/>
    <w:rsid w:val="009D3C5F"/>
    <w:rsid w:val="009E5B23"/>
    <w:rsid w:val="009E667D"/>
    <w:rsid w:val="009F63B2"/>
    <w:rsid w:val="00A009A4"/>
    <w:rsid w:val="00A0355A"/>
    <w:rsid w:val="00A059D4"/>
    <w:rsid w:val="00A064A1"/>
    <w:rsid w:val="00A07BA5"/>
    <w:rsid w:val="00A13A99"/>
    <w:rsid w:val="00A206A6"/>
    <w:rsid w:val="00A36362"/>
    <w:rsid w:val="00A40500"/>
    <w:rsid w:val="00A41E50"/>
    <w:rsid w:val="00A456E9"/>
    <w:rsid w:val="00A847EF"/>
    <w:rsid w:val="00A943EA"/>
    <w:rsid w:val="00A948E3"/>
    <w:rsid w:val="00AA5F8B"/>
    <w:rsid w:val="00AC166B"/>
    <w:rsid w:val="00AC60F9"/>
    <w:rsid w:val="00AE1C2F"/>
    <w:rsid w:val="00AE56E9"/>
    <w:rsid w:val="00AE6547"/>
    <w:rsid w:val="00AF14A6"/>
    <w:rsid w:val="00AF3A85"/>
    <w:rsid w:val="00B01FBD"/>
    <w:rsid w:val="00B22FAC"/>
    <w:rsid w:val="00B3047B"/>
    <w:rsid w:val="00B51719"/>
    <w:rsid w:val="00B558BB"/>
    <w:rsid w:val="00B57730"/>
    <w:rsid w:val="00B805B0"/>
    <w:rsid w:val="00B92524"/>
    <w:rsid w:val="00B92651"/>
    <w:rsid w:val="00B95B3F"/>
    <w:rsid w:val="00BA64D9"/>
    <w:rsid w:val="00BB44B0"/>
    <w:rsid w:val="00BC087C"/>
    <w:rsid w:val="00BC0CC2"/>
    <w:rsid w:val="00BD0EA3"/>
    <w:rsid w:val="00BD2C17"/>
    <w:rsid w:val="00BE09A5"/>
    <w:rsid w:val="00BF1107"/>
    <w:rsid w:val="00C0012E"/>
    <w:rsid w:val="00C0122F"/>
    <w:rsid w:val="00C01257"/>
    <w:rsid w:val="00C10BB7"/>
    <w:rsid w:val="00C17140"/>
    <w:rsid w:val="00C23BA5"/>
    <w:rsid w:val="00C309E6"/>
    <w:rsid w:val="00C34D28"/>
    <w:rsid w:val="00C439BD"/>
    <w:rsid w:val="00C443D0"/>
    <w:rsid w:val="00C465A5"/>
    <w:rsid w:val="00C6545B"/>
    <w:rsid w:val="00C6555B"/>
    <w:rsid w:val="00C6765B"/>
    <w:rsid w:val="00C75B2D"/>
    <w:rsid w:val="00C85E79"/>
    <w:rsid w:val="00C9797B"/>
    <w:rsid w:val="00CA6964"/>
    <w:rsid w:val="00CB0EA7"/>
    <w:rsid w:val="00CB4563"/>
    <w:rsid w:val="00CD0713"/>
    <w:rsid w:val="00CD2D17"/>
    <w:rsid w:val="00CD3389"/>
    <w:rsid w:val="00CE55DC"/>
    <w:rsid w:val="00D160D9"/>
    <w:rsid w:val="00D20C17"/>
    <w:rsid w:val="00D229BB"/>
    <w:rsid w:val="00D3086A"/>
    <w:rsid w:val="00D32F46"/>
    <w:rsid w:val="00D33A96"/>
    <w:rsid w:val="00D40A00"/>
    <w:rsid w:val="00D57BA0"/>
    <w:rsid w:val="00D67F81"/>
    <w:rsid w:val="00D77DBC"/>
    <w:rsid w:val="00D948D4"/>
    <w:rsid w:val="00DA1B7A"/>
    <w:rsid w:val="00DB4C18"/>
    <w:rsid w:val="00DC6E7B"/>
    <w:rsid w:val="00DC75BA"/>
    <w:rsid w:val="00DF40B0"/>
    <w:rsid w:val="00DF6C3B"/>
    <w:rsid w:val="00E04E4F"/>
    <w:rsid w:val="00E10741"/>
    <w:rsid w:val="00E149B7"/>
    <w:rsid w:val="00E14DE1"/>
    <w:rsid w:val="00E20526"/>
    <w:rsid w:val="00E21D1A"/>
    <w:rsid w:val="00E30D50"/>
    <w:rsid w:val="00E4277F"/>
    <w:rsid w:val="00E42C4E"/>
    <w:rsid w:val="00E4525E"/>
    <w:rsid w:val="00E50E03"/>
    <w:rsid w:val="00E71874"/>
    <w:rsid w:val="00E80A44"/>
    <w:rsid w:val="00E950BB"/>
    <w:rsid w:val="00E9740C"/>
    <w:rsid w:val="00E979E3"/>
    <w:rsid w:val="00EA006B"/>
    <w:rsid w:val="00EC5A6E"/>
    <w:rsid w:val="00ED2715"/>
    <w:rsid w:val="00EF207F"/>
    <w:rsid w:val="00EF37E2"/>
    <w:rsid w:val="00EF5DD1"/>
    <w:rsid w:val="00F154AA"/>
    <w:rsid w:val="00F34B00"/>
    <w:rsid w:val="00F36DA0"/>
    <w:rsid w:val="00F57591"/>
    <w:rsid w:val="00F6011D"/>
    <w:rsid w:val="00F64747"/>
    <w:rsid w:val="00F6546B"/>
    <w:rsid w:val="00F70FAE"/>
    <w:rsid w:val="00F75302"/>
    <w:rsid w:val="00F77453"/>
    <w:rsid w:val="00F80995"/>
    <w:rsid w:val="00F83F90"/>
    <w:rsid w:val="00F85E97"/>
    <w:rsid w:val="00F85FCC"/>
    <w:rsid w:val="00F91719"/>
    <w:rsid w:val="00F959FE"/>
    <w:rsid w:val="00F95E62"/>
    <w:rsid w:val="00FE3ABA"/>
    <w:rsid w:val="00FF05B3"/>
    <w:rsid w:val="00FF5022"/>
    <w:rsid w:val="01D3250C"/>
    <w:rsid w:val="0641708E"/>
    <w:rsid w:val="06976A6D"/>
    <w:rsid w:val="085D1644"/>
    <w:rsid w:val="0B3D13AD"/>
    <w:rsid w:val="0BE20898"/>
    <w:rsid w:val="0CA05D40"/>
    <w:rsid w:val="10806817"/>
    <w:rsid w:val="13E80FD2"/>
    <w:rsid w:val="165C118C"/>
    <w:rsid w:val="180E7AF3"/>
    <w:rsid w:val="1C9B0535"/>
    <w:rsid w:val="1E2B595B"/>
    <w:rsid w:val="1E3E2F64"/>
    <w:rsid w:val="1E77639C"/>
    <w:rsid w:val="1F1F71FB"/>
    <w:rsid w:val="20C76E44"/>
    <w:rsid w:val="20E71F9A"/>
    <w:rsid w:val="22340E28"/>
    <w:rsid w:val="22707A4D"/>
    <w:rsid w:val="240D68EA"/>
    <w:rsid w:val="2420439F"/>
    <w:rsid w:val="24FD65CA"/>
    <w:rsid w:val="285A7EBE"/>
    <w:rsid w:val="29714AF7"/>
    <w:rsid w:val="2B287437"/>
    <w:rsid w:val="2D85356C"/>
    <w:rsid w:val="2ED771AC"/>
    <w:rsid w:val="317E0C3A"/>
    <w:rsid w:val="32E53E60"/>
    <w:rsid w:val="337D10FF"/>
    <w:rsid w:val="33972808"/>
    <w:rsid w:val="38C63620"/>
    <w:rsid w:val="399865BD"/>
    <w:rsid w:val="3A0237DB"/>
    <w:rsid w:val="436D5ED7"/>
    <w:rsid w:val="495A5150"/>
    <w:rsid w:val="4C1B6716"/>
    <w:rsid w:val="4CB44788"/>
    <w:rsid w:val="4E1402F9"/>
    <w:rsid w:val="4EC072DB"/>
    <w:rsid w:val="4F105B80"/>
    <w:rsid w:val="525A716E"/>
    <w:rsid w:val="53BD5CB2"/>
    <w:rsid w:val="56CC2CEE"/>
    <w:rsid w:val="583D2B23"/>
    <w:rsid w:val="591C7E34"/>
    <w:rsid w:val="5B0D520D"/>
    <w:rsid w:val="5BE32F80"/>
    <w:rsid w:val="5E5E4943"/>
    <w:rsid w:val="5F61061E"/>
    <w:rsid w:val="5F9D6EF4"/>
    <w:rsid w:val="5FAF36A8"/>
    <w:rsid w:val="607C33CE"/>
    <w:rsid w:val="61B35F02"/>
    <w:rsid w:val="63125C85"/>
    <w:rsid w:val="65E23578"/>
    <w:rsid w:val="66BB4E14"/>
    <w:rsid w:val="676F4371"/>
    <w:rsid w:val="67B13D35"/>
    <w:rsid w:val="67F9240D"/>
    <w:rsid w:val="68564826"/>
    <w:rsid w:val="69105CCC"/>
    <w:rsid w:val="699F11F9"/>
    <w:rsid w:val="6AA67613"/>
    <w:rsid w:val="72422988"/>
    <w:rsid w:val="729C49AD"/>
    <w:rsid w:val="73AB3D2F"/>
    <w:rsid w:val="75244DDE"/>
    <w:rsid w:val="7538477C"/>
    <w:rsid w:val="7BAC20F3"/>
    <w:rsid w:val="7D6531A0"/>
    <w:rsid w:val="7D6B41CC"/>
    <w:rsid w:val="7D8B30D9"/>
    <w:rsid w:val="7DCC4BF0"/>
  </w:rsids>
  <m:mathPr>
    <m:mathFont m:val="Cambria Math"/>
    <m:brkBin m:val="before"/>
    <m:brkBinSub m:val="--"/>
    <m:smallFrac m:val="1"/>
    <m:dispDef/>
    <m:lMargin m:val="0"/>
    <m:rMargin m:val="0"/>
    <m:defJc m:val="centerGroup"/>
    <m:wrapIndent m:val="1440"/>
    <m:intLim m:val="subSup"/>
    <m:naryLim m:val="undOvr"/>
  </m:mathPr>
  <w:themeFontLang w:val="en-US" w:eastAsia="zh-CN" w:bidi="mn-Mong-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line="576" w:lineRule="auto"/>
      <w:outlineLvl w:val="0"/>
    </w:pPr>
    <w:rPr>
      <w:b/>
      <w:kern w:val="44"/>
      <w:sz w:val="44"/>
    </w:rPr>
  </w:style>
  <w:style w:type="paragraph" w:styleId="3">
    <w:name w:val="heading 2"/>
    <w:basedOn w:val="1"/>
    <w:next w:val="1"/>
    <w:unhideWhenUsed/>
    <w:qFormat/>
    <w:uiPriority w:val="0"/>
    <w:pPr>
      <w:keepNext/>
      <w:keepLines/>
      <w:spacing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line="413" w:lineRule="auto"/>
      <w:outlineLvl w:val="2"/>
    </w:pPr>
    <w:rPr>
      <w:b/>
      <w:sz w:val="32"/>
    </w:rPr>
  </w:style>
  <w:style w:type="paragraph" w:styleId="5">
    <w:name w:val="heading 4"/>
    <w:basedOn w:val="1"/>
    <w:next w:val="1"/>
    <w:qFormat/>
    <w:uiPriority w:val="9"/>
    <w:pPr>
      <w:keepNext/>
      <w:keepLines/>
      <w:spacing w:before="280" w:after="290" w:line="376" w:lineRule="auto"/>
      <w:outlineLvl w:val="3"/>
    </w:pPr>
    <w:rPr>
      <w:rFonts w:ascii="Arial" w:hAnsi="Arial" w:eastAsia="黑体"/>
      <w:b/>
      <w:bCs/>
      <w:sz w:val="28"/>
      <w:szCs w:val="28"/>
      <w:lang w:bidi="mn-Mong-CN"/>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autoRedefine/>
    <w:unhideWhenUsed/>
    <w:qFormat/>
    <w:uiPriority w:val="39"/>
    <w:pPr>
      <w:ind w:left="2520" w:leftChars="1200"/>
    </w:pPr>
    <w:rPr>
      <w:szCs w:val="22"/>
    </w:rPr>
  </w:style>
  <w:style w:type="paragraph" w:styleId="7">
    <w:name w:val="Normal Indent"/>
    <w:basedOn w:val="1"/>
    <w:qFormat/>
    <w:uiPriority w:val="99"/>
    <w:pPr>
      <w:ind w:firstLine="420"/>
    </w:pPr>
    <w:rPr>
      <w:szCs w:val="20"/>
    </w:rPr>
  </w:style>
  <w:style w:type="paragraph" w:styleId="8">
    <w:name w:val="Body Text"/>
    <w:basedOn w:val="1"/>
    <w:next w:val="9"/>
    <w:qFormat/>
    <w:uiPriority w:val="0"/>
    <w:rPr>
      <w:rFonts w:ascii="楷体_GB2312" w:hAnsi="Arial" w:eastAsia="楷体_GB2312"/>
      <w:sz w:val="28"/>
      <w:szCs w:val="20"/>
      <w:lang w:bidi="mn-Mong-CN"/>
    </w:rPr>
  </w:style>
  <w:style w:type="paragraph" w:customStyle="1" w:styleId="9">
    <w:name w:val="Default"/>
    <w:qFormat/>
    <w:uiPriority w:val="0"/>
    <w:pPr>
      <w:widowControl w:val="0"/>
    </w:pPr>
    <w:rPr>
      <w:rFonts w:ascii="Times New Roman" w:hAnsi="Times New Roman" w:eastAsia="宋体" w:cs="Calibri"/>
      <w:color w:val="000000"/>
      <w:sz w:val="24"/>
      <w:szCs w:val="24"/>
      <w:lang w:val="en-US" w:eastAsia="zh-CN" w:bidi="ar-SA"/>
    </w:rPr>
  </w:style>
  <w:style w:type="paragraph" w:styleId="10">
    <w:name w:val="index 4"/>
    <w:basedOn w:val="1"/>
    <w:next w:val="1"/>
    <w:qFormat/>
    <w:uiPriority w:val="0"/>
    <w:pPr>
      <w:ind w:left="600"/>
    </w:pPr>
    <w:rPr>
      <w:rFonts w:ascii="Times New Roman" w:hAnsi="Times New Roman" w:eastAsia="宋体"/>
    </w:rPr>
  </w:style>
  <w:style w:type="paragraph" w:styleId="11">
    <w:name w:val="toc 5"/>
    <w:basedOn w:val="1"/>
    <w:next w:val="1"/>
    <w:autoRedefine/>
    <w:unhideWhenUsed/>
    <w:qFormat/>
    <w:uiPriority w:val="39"/>
    <w:pPr>
      <w:ind w:left="1680" w:leftChars="800"/>
    </w:pPr>
    <w:rPr>
      <w:szCs w:val="22"/>
    </w:rPr>
  </w:style>
  <w:style w:type="paragraph" w:styleId="12">
    <w:name w:val="toc 3"/>
    <w:basedOn w:val="1"/>
    <w:next w:val="1"/>
    <w:qFormat/>
    <w:uiPriority w:val="39"/>
    <w:pPr>
      <w:ind w:left="840" w:leftChars="400"/>
    </w:pPr>
  </w:style>
  <w:style w:type="paragraph" w:styleId="13">
    <w:name w:val="toc 8"/>
    <w:basedOn w:val="1"/>
    <w:next w:val="1"/>
    <w:autoRedefine/>
    <w:unhideWhenUsed/>
    <w:qFormat/>
    <w:uiPriority w:val="39"/>
    <w:pPr>
      <w:ind w:left="2940" w:leftChars="1400"/>
    </w:pPr>
    <w:rPr>
      <w:szCs w:val="22"/>
    </w:rPr>
  </w:style>
  <w:style w:type="paragraph" w:styleId="14">
    <w:name w:val="Balloon Text"/>
    <w:basedOn w:val="1"/>
    <w:link w:val="35"/>
    <w:qFormat/>
    <w:uiPriority w:val="0"/>
    <w:rPr>
      <w:sz w:val="18"/>
      <w:szCs w:val="18"/>
    </w:rPr>
  </w:style>
  <w:style w:type="paragraph" w:styleId="15">
    <w:name w:val="footer"/>
    <w:basedOn w:val="1"/>
    <w:qFormat/>
    <w:uiPriority w:val="0"/>
    <w:pPr>
      <w:tabs>
        <w:tab w:val="center" w:pos="4153"/>
        <w:tab w:val="right" w:pos="8306"/>
      </w:tabs>
      <w:snapToGrid w:val="0"/>
      <w:jc w:val="left"/>
    </w:pPr>
    <w:rPr>
      <w:sz w:val="18"/>
    </w:rPr>
  </w:style>
  <w:style w:type="paragraph" w:styleId="1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7">
    <w:name w:val="toc 1"/>
    <w:basedOn w:val="1"/>
    <w:next w:val="1"/>
    <w:qFormat/>
    <w:uiPriority w:val="39"/>
  </w:style>
  <w:style w:type="paragraph" w:styleId="18">
    <w:name w:val="toc 4"/>
    <w:basedOn w:val="1"/>
    <w:next w:val="1"/>
    <w:autoRedefine/>
    <w:unhideWhenUsed/>
    <w:qFormat/>
    <w:uiPriority w:val="39"/>
    <w:pPr>
      <w:ind w:left="1260" w:leftChars="600"/>
    </w:pPr>
    <w:rPr>
      <w:szCs w:val="22"/>
    </w:rPr>
  </w:style>
  <w:style w:type="paragraph" w:styleId="19">
    <w:name w:val="toc 6"/>
    <w:basedOn w:val="1"/>
    <w:next w:val="1"/>
    <w:autoRedefine/>
    <w:unhideWhenUsed/>
    <w:qFormat/>
    <w:uiPriority w:val="39"/>
    <w:pPr>
      <w:ind w:left="2100" w:leftChars="1000"/>
    </w:pPr>
    <w:rPr>
      <w:szCs w:val="22"/>
    </w:rPr>
  </w:style>
  <w:style w:type="paragraph" w:styleId="20">
    <w:name w:val="toc 2"/>
    <w:basedOn w:val="1"/>
    <w:next w:val="1"/>
    <w:autoRedefine/>
    <w:qFormat/>
    <w:uiPriority w:val="39"/>
    <w:pPr>
      <w:ind w:left="420" w:leftChars="200"/>
    </w:pPr>
  </w:style>
  <w:style w:type="paragraph" w:styleId="21">
    <w:name w:val="toc 9"/>
    <w:basedOn w:val="1"/>
    <w:next w:val="1"/>
    <w:autoRedefine/>
    <w:unhideWhenUsed/>
    <w:qFormat/>
    <w:uiPriority w:val="39"/>
    <w:pPr>
      <w:ind w:left="3360" w:leftChars="1600"/>
    </w:pPr>
    <w:rPr>
      <w:szCs w:val="22"/>
    </w:rPr>
  </w:style>
  <w:style w:type="paragraph" w:styleId="22">
    <w:name w:val="Body Text 2"/>
    <w:basedOn w:val="1"/>
    <w:autoRedefine/>
    <w:qFormat/>
    <w:uiPriority w:val="0"/>
    <w:pPr>
      <w:spacing w:after="120" w:line="480" w:lineRule="auto"/>
    </w:pPr>
    <w:rPr>
      <w:rFonts w:ascii="Times New Roman" w:hAnsi="Times New Roman"/>
    </w:rPr>
  </w:style>
  <w:style w:type="paragraph" w:styleId="23">
    <w:name w:val="Normal (Web)"/>
    <w:basedOn w:val="1"/>
    <w:qFormat/>
    <w:uiPriority w:val="99"/>
    <w:rPr>
      <w:sz w:val="24"/>
    </w:rPr>
  </w:style>
  <w:style w:type="table" w:styleId="25">
    <w:name w:val="Table Grid"/>
    <w:basedOn w:val="2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Strong"/>
    <w:basedOn w:val="26"/>
    <w:qFormat/>
    <w:uiPriority w:val="22"/>
    <w:rPr>
      <w:b/>
      <w:bCs/>
    </w:rPr>
  </w:style>
  <w:style w:type="character" w:styleId="28">
    <w:name w:val="page number"/>
    <w:qFormat/>
    <w:uiPriority w:val="0"/>
  </w:style>
  <w:style w:type="character" w:styleId="29">
    <w:name w:val="Hyperlink"/>
    <w:basedOn w:val="26"/>
    <w:qFormat/>
    <w:uiPriority w:val="99"/>
    <w:rPr>
      <w:color w:val="0000FF"/>
      <w:u w:val="single"/>
    </w:rPr>
  </w:style>
  <w:style w:type="paragraph" w:customStyle="1" w:styleId="30">
    <w:name w:val="标题 31"/>
    <w:basedOn w:val="1"/>
    <w:next w:val="1"/>
    <w:autoRedefine/>
    <w:qFormat/>
    <w:uiPriority w:val="0"/>
    <w:pPr>
      <w:keepNext/>
      <w:keepLines/>
      <w:spacing w:before="260" w:after="260" w:line="416" w:lineRule="auto"/>
      <w:outlineLvl w:val="2"/>
    </w:pPr>
    <w:rPr>
      <w:b/>
      <w:sz w:val="32"/>
      <w:szCs w:val="20"/>
    </w:rPr>
  </w:style>
  <w:style w:type="table" w:customStyle="1" w:styleId="31">
    <w:name w:val="Table Normal"/>
    <w:semiHidden/>
    <w:unhideWhenUsed/>
    <w:qFormat/>
    <w:uiPriority w:val="0"/>
    <w:tblPr>
      <w:tblCellMar>
        <w:top w:w="0" w:type="dxa"/>
        <w:left w:w="0" w:type="dxa"/>
        <w:bottom w:w="0" w:type="dxa"/>
        <w:right w:w="0" w:type="dxa"/>
      </w:tblCellMar>
    </w:tblPr>
  </w:style>
  <w:style w:type="paragraph" w:customStyle="1" w:styleId="32">
    <w:name w:val="WPSOffice手动目录 1"/>
    <w:autoRedefine/>
    <w:qFormat/>
    <w:uiPriority w:val="0"/>
    <w:rPr>
      <w:rFonts w:ascii="Times New Roman" w:hAnsi="Times New Roman" w:eastAsia="宋体" w:cs="Times New Roman"/>
      <w:lang w:val="en-US" w:eastAsia="zh-CN" w:bidi="mn-Mong-CN"/>
    </w:rPr>
  </w:style>
  <w:style w:type="paragraph" w:customStyle="1" w:styleId="33">
    <w:name w:val="WPSOffice手动目录 2"/>
    <w:autoRedefine/>
    <w:qFormat/>
    <w:uiPriority w:val="0"/>
    <w:pPr>
      <w:ind w:left="200" w:leftChars="200"/>
    </w:pPr>
    <w:rPr>
      <w:rFonts w:ascii="Times New Roman" w:hAnsi="Times New Roman" w:eastAsia="宋体" w:cs="Times New Roman"/>
      <w:lang w:val="en-US" w:eastAsia="zh-CN" w:bidi="mn-Mong-CN"/>
    </w:rPr>
  </w:style>
  <w:style w:type="paragraph" w:customStyle="1" w:styleId="34">
    <w:name w:val="WPSOffice手动目录 3"/>
    <w:autoRedefine/>
    <w:qFormat/>
    <w:uiPriority w:val="0"/>
    <w:pPr>
      <w:ind w:left="400" w:leftChars="400"/>
    </w:pPr>
    <w:rPr>
      <w:rFonts w:ascii="Times New Roman" w:hAnsi="Times New Roman" w:eastAsia="宋体" w:cs="Times New Roman"/>
      <w:lang w:val="en-US" w:eastAsia="zh-CN" w:bidi="mn-Mong-CN"/>
    </w:rPr>
  </w:style>
  <w:style w:type="character" w:customStyle="1" w:styleId="35">
    <w:name w:val="批注框文本 Char"/>
    <w:basedOn w:val="26"/>
    <w:link w:val="14"/>
    <w:qFormat/>
    <w:uiPriority w:val="0"/>
    <w:rPr>
      <w:rFonts w:asciiTheme="minorHAnsi" w:hAnsiTheme="minorHAnsi" w:eastAsiaTheme="minorEastAsia" w:cstheme="minorBidi"/>
      <w:kern w:val="2"/>
      <w:sz w:val="18"/>
      <w:szCs w:val="18"/>
      <w:lang w:bidi="ar-SA"/>
    </w:rPr>
  </w:style>
  <w:style w:type="paragraph" w:customStyle="1" w:styleId="36">
    <w:name w:val="正文1"/>
    <w:autoRedefine/>
    <w:qFormat/>
    <w:uiPriority w:val="99"/>
    <w:pPr>
      <w:adjustRightInd w:val="0"/>
      <w:spacing w:before="120" w:after="120" w:line="180" w:lineRule="auto"/>
      <w:ind w:firstLine="200" w:firstLineChars="200"/>
      <w:contextualSpacing/>
    </w:pPr>
    <w:rPr>
      <w:rFonts w:ascii="Calibri" w:hAnsi="Calibri" w:eastAsia="Adobe 仿宋 Std R" w:cs="Times New Roman"/>
      <w:kern w:val="2"/>
      <w:sz w:val="21"/>
      <w:szCs w:val="21"/>
      <w:lang w:val="en-US" w:eastAsia="zh-CN" w:bidi="ar-SA"/>
    </w:rPr>
  </w:style>
  <w:style w:type="character" w:customStyle="1" w:styleId="37">
    <w:name w:val="htd0"/>
    <w:basedOn w:val="26"/>
    <w:autoRedefine/>
    <w:qFormat/>
    <w:uiPriority w:val="0"/>
  </w:style>
  <w:style w:type="paragraph" w:customStyle="1" w:styleId="38">
    <w:name w:val="列出段落3"/>
    <w:basedOn w:val="1"/>
    <w:autoRedefine/>
    <w:qFormat/>
    <w:uiPriority w:val="34"/>
    <w:pPr>
      <w:ind w:firstLine="420" w:firstLineChars="200"/>
    </w:pPr>
    <w:rPr>
      <w:rFonts w:ascii="Calibri" w:hAnsi="Calibri"/>
      <w:szCs w:val="22"/>
    </w:rPr>
  </w:style>
  <w:style w:type="character" w:customStyle="1" w:styleId="39">
    <w:name w:val="正文文本缩进 Char"/>
    <w:link w:val="40"/>
    <w:qFormat/>
    <w:uiPriority w:val="0"/>
    <w:rPr>
      <w:sz w:val="21"/>
      <w:szCs w:val="24"/>
    </w:rPr>
  </w:style>
  <w:style w:type="paragraph" w:customStyle="1" w:styleId="40">
    <w:name w:val="正文文本缩进1"/>
    <w:basedOn w:val="1"/>
    <w:next w:val="41"/>
    <w:link w:val="39"/>
    <w:qFormat/>
    <w:uiPriority w:val="0"/>
    <w:pPr>
      <w:spacing w:after="120"/>
      <w:ind w:left="420"/>
    </w:pPr>
    <w:rPr>
      <w:rFonts w:ascii="Times New Roman" w:hAnsi="Times New Roman" w:eastAsia="宋体" w:cs="Times New Roman"/>
      <w:kern w:val="0"/>
      <w:lang w:bidi="mn-Mong-CN"/>
    </w:rPr>
  </w:style>
  <w:style w:type="paragraph" w:customStyle="1" w:styleId="41">
    <w:name w:val="寄信人地址1"/>
    <w:basedOn w:val="1"/>
    <w:qFormat/>
    <w:uiPriority w:val="0"/>
    <w:rPr>
      <w:rFonts w:ascii="Arial" w:hAnsi="Arial" w:eastAsia="宋体" w:cs="Times New Roman"/>
      <w:kern w:val="0"/>
    </w:rPr>
  </w:style>
  <w:style w:type="table" w:customStyle="1" w:styleId="42">
    <w:name w:val="网格型1"/>
    <w:basedOn w:val="24"/>
    <w:autoRedefine/>
    <w:qFormat/>
    <w:uiPriority w:val="0"/>
    <w:pPr>
      <w:widowControl w:val="0"/>
      <w:jc w:val="both"/>
    </w:pPr>
    <w:rPr>
      <w:rFonts w:ascii="Calibri" w:hAnsi="Calibri" w:cs="Mongolian Bait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3">
    <w:name w:val="网格型2"/>
    <w:basedOn w:val="24"/>
    <w:autoRedefine/>
    <w:qFormat/>
    <w:uiPriority w:val="0"/>
    <w:pPr>
      <w:widowControl w:val="0"/>
      <w:jc w:val="both"/>
    </w:pPr>
    <w:rPr>
      <w:rFonts w:ascii="Calibri" w:hAnsi="Calibri" w:cs="Mongolian Bait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4">
    <w:name w:val="网格型3"/>
    <w:basedOn w:val="24"/>
    <w:autoRedefine/>
    <w:qFormat/>
    <w:uiPriority w:val="0"/>
    <w:pPr>
      <w:widowControl w:val="0"/>
      <w:jc w:val="both"/>
    </w:pPr>
    <w:rPr>
      <w:rFonts w:ascii="Calibri" w:hAnsi="Calibri" w:cs="Mongolian Bait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45">
    <w:name w:val="标题 11"/>
    <w:basedOn w:val="1"/>
    <w:qFormat/>
    <w:uiPriority w:val="1"/>
    <w:pPr>
      <w:spacing w:before="182"/>
      <w:ind w:left="39"/>
      <w:jc w:val="center"/>
      <w:outlineLvl w:val="1"/>
    </w:pPr>
    <w:rPr>
      <w:sz w:val="43"/>
      <w:szCs w:val="43"/>
    </w:rPr>
  </w:style>
  <w:style w:type="paragraph" w:styleId="46">
    <w:name w:val="List Paragraph"/>
    <w:basedOn w:val="1"/>
    <w:autoRedefine/>
    <w:qFormat/>
    <w:uiPriority w:val="99"/>
    <w:pPr>
      <w:ind w:firstLine="420" w:firstLineChars="200"/>
    </w:pPr>
    <w:rPr>
      <w:rFonts w:ascii="Calibri" w:hAnsi="Calibri"/>
    </w:rPr>
  </w:style>
  <w:style w:type="paragraph" w:customStyle="1" w:styleId="47">
    <w:name w:val="正文缩进1"/>
    <w:basedOn w:val="1"/>
    <w:qFormat/>
    <w:uiPriority w:val="0"/>
    <w:pPr>
      <w:ind w:firstLine="420"/>
    </w:pPr>
    <w:rPr>
      <w:szCs w:val="20"/>
    </w:rPr>
  </w:style>
  <w:style w:type="paragraph" w:customStyle="1" w:styleId="48">
    <w:name w:val="索引 11"/>
    <w:basedOn w:val="1"/>
    <w:next w:val="1"/>
    <w:qFormat/>
    <w:uiPriority w:val="99"/>
    <w:pPr>
      <w:spacing w:line="360" w:lineRule="auto"/>
    </w:pPr>
    <w:rPr>
      <w:rFonts w:ascii="仿宋_GB2312" w:eastAsia="仿宋_GB2312"/>
      <w:sz w:val="24"/>
      <w:szCs w:val="20"/>
    </w:rPr>
  </w:style>
  <w:style w:type="paragraph" w:customStyle="1" w:styleId="49">
    <w:name w:val="text-tag"/>
    <w:basedOn w:val="1"/>
    <w:semiHidden/>
    <w:qFormat/>
    <w:uiPriority w:val="99"/>
    <w:pPr>
      <w:widowControl/>
      <w:spacing w:before="100" w:beforeAutospacing="1" w:after="100" w:afterAutospacing="1"/>
      <w:jc w:val="left"/>
    </w:pPr>
    <w:rPr>
      <w:rFonts w:ascii="宋体" w:hAnsi="宋体" w:cs="宋体"/>
      <w:kern w:val="0"/>
      <w:sz w:val="24"/>
    </w:rPr>
  </w:style>
  <w:style w:type="paragraph" w:customStyle="1" w:styleId="50">
    <w:name w:val="Normal_19"/>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1">
    <w:name w:val="正文 A"/>
    <w:qFormat/>
    <w:uiPriority w:val="0"/>
    <w:pPr>
      <w:widowControl w:val="0"/>
      <w:jc w:val="both"/>
    </w:pPr>
    <w:rPr>
      <w:rFonts w:hint="eastAsia" w:ascii="Arial Unicode MS" w:hAnsi="Arial Unicode MS" w:eastAsia="Arial Unicode MS" w:cs="Arial Unicode MS"/>
      <w:color w:val="000000"/>
      <w:sz w:val="21"/>
      <w:szCs w:val="21"/>
      <w:lang w:val="en-US" w:eastAsia="zh-CN" w:bidi="ar-SA"/>
    </w:rPr>
  </w:style>
  <w:style w:type="character" w:customStyle="1" w:styleId="52">
    <w:name w:val="Unresolved Mention"/>
    <w:basedOn w:val="26"/>
    <w:semiHidden/>
    <w:unhideWhenUsed/>
    <w:qFormat/>
    <w:uiPriority w:val="99"/>
    <w:rPr>
      <w:color w:val="605E5C"/>
      <w:shd w:val="clear" w:color="auto" w:fill="E1DFDD"/>
    </w:rPr>
  </w:style>
  <w:style w:type="paragraph" w:customStyle="1" w:styleId="53">
    <w:name w:val="二级目录"/>
    <w:next w:val="1"/>
    <w:qFormat/>
    <w:uiPriority w:val="99"/>
    <w:pPr>
      <w:numPr>
        <w:ilvl w:val="0"/>
        <w:numId w:val="1"/>
      </w:numPr>
      <w:tabs>
        <w:tab w:val="left" w:pos="720"/>
      </w:tabs>
      <w:outlineLvl w:val="1"/>
    </w:pPr>
    <w:rPr>
      <w:rFonts w:ascii="Calibri" w:hAnsi="Calibri" w:eastAsia="宋体" w:cs="Times New Roman"/>
      <w:b/>
      <w:bCs/>
      <w:kern w:val="2"/>
      <w:sz w:val="28"/>
      <w:szCs w:val="28"/>
      <w:lang w:val="en-US" w:eastAsia="zh-CN" w:bidi="ar-SA"/>
    </w:rPr>
  </w:style>
  <w:style w:type="paragraph" w:customStyle="1" w:styleId="54">
    <w:name w:val="Normal_28"/>
    <w:qFormat/>
    <w:uiPriority w:val="0"/>
    <w:rPr>
      <w:rFonts w:ascii="Times New Roman" w:hAnsi="Times New Roman" w:eastAsia="Times New Roman" w:cs="Times New Roman"/>
      <w:sz w:val="24"/>
      <w:szCs w:val="24"/>
      <w:lang w:val="en-US" w:eastAsia="zh-CN" w:bidi="ar-SA"/>
    </w:rPr>
  </w:style>
  <w:style w:type="paragraph" w:customStyle="1" w:styleId="55">
    <w:name w:val="Normal_31"/>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56">
    <w:name w:val="正文缩进 Char_0_0"/>
    <w:link w:val="57"/>
    <w:qFormat/>
    <w:locked/>
    <w:uiPriority w:val="0"/>
    <w:rPr>
      <w:rFonts w:ascii="楷体" w:hAnsi="Tms Rmn" w:eastAsia="楷体"/>
      <w:b/>
      <w:sz w:val="32"/>
    </w:rPr>
  </w:style>
  <w:style w:type="paragraph" w:customStyle="1" w:styleId="57">
    <w:name w:val="Normal Indent_0"/>
    <w:basedOn w:val="55"/>
    <w:link w:val="56"/>
    <w:qFormat/>
    <w:uiPriority w:val="0"/>
    <w:pPr>
      <w:ind w:firstLine="420"/>
      <w:jc w:val="left"/>
    </w:pPr>
    <w:rPr>
      <w:rFonts w:ascii="楷体" w:hAnsi="Tms Rmn" w:eastAsia="楷体"/>
      <w:b/>
      <w:sz w:val="32"/>
      <w:szCs w:val="20"/>
    </w:rPr>
  </w:style>
  <w:style w:type="paragraph" w:customStyle="1" w:styleId="58">
    <w:name w:val="Normal_32"/>
    <w:qFormat/>
    <w:uiPriority w:val="0"/>
    <w:rPr>
      <w:rFonts w:ascii="Times New Roman" w:hAnsi="Times New Roman" w:eastAsia="Times New Roman" w:cs="Times New Roman"/>
      <w:sz w:val="24"/>
      <w:szCs w:val="24"/>
      <w:lang w:val="en-US" w:eastAsia="zh-CN" w:bidi="ar-SA"/>
    </w:rPr>
  </w:style>
  <w:style w:type="paragraph" w:customStyle="1" w:styleId="59">
    <w:name w:val="Normal_33"/>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60">
    <w:name w:val="正文缩进 Char_1"/>
    <w:link w:val="61"/>
    <w:qFormat/>
    <w:locked/>
    <w:uiPriority w:val="0"/>
    <w:rPr>
      <w:rFonts w:ascii="楷体" w:hAnsi="Tms Rmn" w:eastAsia="楷体"/>
      <w:b/>
      <w:sz w:val="32"/>
    </w:rPr>
  </w:style>
  <w:style w:type="paragraph" w:customStyle="1" w:styleId="61">
    <w:name w:val="Normal Indent_1"/>
    <w:basedOn w:val="59"/>
    <w:link w:val="60"/>
    <w:qFormat/>
    <w:uiPriority w:val="0"/>
    <w:pPr>
      <w:ind w:firstLine="420"/>
      <w:jc w:val="left"/>
    </w:pPr>
    <w:rPr>
      <w:rFonts w:ascii="楷体" w:hAnsi="Tms Rmn" w:eastAsia="楷体"/>
      <w:b/>
      <w:sz w:val="32"/>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3" Type="http://schemas.openxmlformats.org/officeDocument/2006/relationships/fontTable" Target="fontTable.xml"/><Relationship Id="rId32" Type="http://schemas.openxmlformats.org/officeDocument/2006/relationships/customXml" Target="../customXml/item2.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header" Target="header1.xml"/><Relationship Id="rId29" Type="http://schemas.openxmlformats.org/officeDocument/2006/relationships/theme" Target="theme/theme1.xml"/><Relationship Id="rId28" Type="http://schemas.openxmlformats.org/officeDocument/2006/relationships/footer" Target="footer17.xml"/><Relationship Id="rId27" Type="http://schemas.openxmlformats.org/officeDocument/2006/relationships/header" Target="header9.xml"/><Relationship Id="rId26" Type="http://schemas.openxmlformats.org/officeDocument/2006/relationships/footer" Target="footer16.xml"/><Relationship Id="rId25" Type="http://schemas.openxmlformats.org/officeDocument/2006/relationships/header" Target="header8.xml"/><Relationship Id="rId24" Type="http://schemas.openxmlformats.org/officeDocument/2006/relationships/footer" Target="footer15.xml"/><Relationship Id="rId23" Type="http://schemas.openxmlformats.org/officeDocument/2006/relationships/header" Target="header7.xml"/><Relationship Id="rId22" Type="http://schemas.openxmlformats.org/officeDocument/2006/relationships/footer" Target="footer14.xml"/><Relationship Id="rId21" Type="http://schemas.openxmlformats.org/officeDocument/2006/relationships/header" Target="header6.xml"/><Relationship Id="rId20" Type="http://schemas.openxmlformats.org/officeDocument/2006/relationships/footer" Target="footer13.xml"/><Relationship Id="rId2" Type="http://schemas.openxmlformats.org/officeDocument/2006/relationships/settings" Target="settings.xml"/><Relationship Id="rId19" Type="http://schemas.openxmlformats.org/officeDocument/2006/relationships/footer" Target="footer12.xml"/><Relationship Id="rId18" Type="http://schemas.openxmlformats.org/officeDocument/2006/relationships/footer" Target="footer11.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B456D4E-7CA7-4FE3-B9E1-044DA783CF9E}">
  <ds:schemaRefs/>
</ds:datastoreItem>
</file>

<file path=docProps/app.xml><?xml version="1.0" encoding="utf-8"?>
<Properties xmlns="http://schemas.openxmlformats.org/officeDocument/2006/extended-properties" xmlns:vt="http://schemas.openxmlformats.org/officeDocument/2006/docPropsVTypes">
  <Template>Normal.dotm</Template>
  <Pages>77</Pages>
  <Words>34771</Words>
  <Characters>37162</Characters>
  <Lines>325</Lines>
  <Paragraphs>91</Paragraphs>
  <TotalTime>18</TotalTime>
  <ScaleCrop>false</ScaleCrop>
  <LinksUpToDate>false</LinksUpToDate>
  <CharactersWithSpaces>38411</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2024-04-01T09:05:00Z</dcterms:created>
  <dc:creator>Administrator</dc:creator>
  <cp:lastModifiedBy>、Y  y</cp:lastModifiedBy>
  <cp:lastPrinted>2025-10-16T02:30:00Z</cp:lastPrinted>
  <dcterms:modified xsi:type="dcterms:W3CDTF">2025-11-12T07:37:17Z</dcterms:modified>
  <cp:revision>62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7BEB6F3314374BD19819DA47CF1C0DFA_13</vt:lpwstr>
  </property>
  <property fmtid="{D5CDD505-2E9C-101B-9397-08002B2CF9AE}" pid="4" name="KSOTemplateDocerSaveRecord">
    <vt:lpwstr>eyJoZGlkIjoiZTlkM2I1ZTcxOGNlMDQ4MjUwNGVmYzZlMzJiZDc5ZDAiLCJ1c2VySWQiOiIxMjAzODgzODk3In0=</vt:lpwstr>
  </property>
</Properties>
</file>